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319D" w:rsidRPr="003D319D" w:rsidRDefault="003D319D" w:rsidP="003D319D">
      <w:pPr>
        <w:spacing w:before="120" w:line="257" w:lineRule="auto"/>
        <w:jc w:val="center"/>
        <w:rPr>
          <w:b/>
          <w:sz w:val="30"/>
          <w:szCs w:val="30"/>
          <w:lang w:val="nl-NL"/>
        </w:rPr>
      </w:pPr>
      <w:r w:rsidRPr="003D319D">
        <w:rPr>
          <w:b/>
          <w:sz w:val="30"/>
          <w:szCs w:val="30"/>
          <w:lang w:val="nl-NL"/>
        </w:rPr>
        <w:t>TỜ TRÌNH</w:t>
      </w:r>
    </w:p>
    <w:p w:rsidR="003D319D" w:rsidRPr="003D319D" w:rsidRDefault="003D319D" w:rsidP="003D319D">
      <w:pPr>
        <w:spacing w:line="257" w:lineRule="auto"/>
        <w:jc w:val="center"/>
        <w:rPr>
          <w:b/>
          <w:sz w:val="30"/>
          <w:szCs w:val="30"/>
          <w:lang w:val="nl-NL"/>
        </w:rPr>
      </w:pPr>
      <w:r w:rsidRPr="003D319D">
        <w:rPr>
          <w:b/>
          <w:sz w:val="30"/>
          <w:szCs w:val="30"/>
          <w:lang w:val="nl-NL"/>
        </w:rPr>
        <w:t>ĐẠI HỘI CỔ ĐÔNG THƯỜNG NIÊN 2020</w:t>
      </w:r>
    </w:p>
    <w:p w:rsidR="003D319D" w:rsidRPr="00A71018" w:rsidRDefault="003D319D" w:rsidP="003D319D">
      <w:pPr>
        <w:autoSpaceDE w:val="0"/>
        <w:autoSpaceDN w:val="0"/>
        <w:adjustRightInd w:val="0"/>
        <w:spacing w:line="257" w:lineRule="auto"/>
        <w:jc w:val="center"/>
        <w:outlineLvl w:val="0"/>
        <w:rPr>
          <w:bCs/>
          <w:i/>
          <w:sz w:val="28"/>
          <w:szCs w:val="28"/>
          <w:lang w:val="nl-NL"/>
        </w:rPr>
      </w:pPr>
      <w:r w:rsidRPr="00A71018">
        <w:rPr>
          <w:bCs/>
          <w:i/>
          <w:sz w:val="28"/>
          <w:szCs w:val="28"/>
          <w:lang w:val="nl-NL"/>
        </w:rPr>
        <w:t>Về thông qua Phương án phát hành</w:t>
      </w:r>
      <w:r>
        <w:rPr>
          <w:bCs/>
          <w:i/>
          <w:sz w:val="28"/>
          <w:szCs w:val="28"/>
        </w:rPr>
        <w:t xml:space="preserve"> cổ phiếu</w:t>
      </w:r>
      <w:r w:rsidRPr="00A71018">
        <w:rPr>
          <w:bCs/>
          <w:i/>
          <w:sz w:val="28"/>
          <w:szCs w:val="28"/>
          <w:lang w:val="nl-NL"/>
        </w:rPr>
        <w:t xml:space="preserve"> tăng vốn điều lệ</w:t>
      </w:r>
      <w:r>
        <w:rPr>
          <w:bCs/>
          <w:i/>
          <w:sz w:val="28"/>
          <w:szCs w:val="28"/>
          <w:lang w:val="nl-NL"/>
        </w:rPr>
        <w:t>; Phương án phát hành trái phiếu</w:t>
      </w:r>
      <w:r w:rsidRPr="00A71018">
        <w:rPr>
          <w:bCs/>
          <w:i/>
          <w:sz w:val="28"/>
          <w:szCs w:val="28"/>
          <w:lang w:val="nl-NL"/>
        </w:rPr>
        <w:t xml:space="preserve"> phục vụ SXKD, đầu tư và bổ sung vốn lưu động năm 2020 </w:t>
      </w:r>
    </w:p>
    <w:p w:rsidR="003D319D" w:rsidRPr="00A71018" w:rsidRDefault="003D319D" w:rsidP="003D319D">
      <w:pPr>
        <w:autoSpaceDE w:val="0"/>
        <w:autoSpaceDN w:val="0"/>
        <w:adjustRightInd w:val="0"/>
        <w:spacing w:line="257" w:lineRule="auto"/>
        <w:jc w:val="center"/>
        <w:outlineLvl w:val="0"/>
        <w:rPr>
          <w:bCs/>
          <w:i/>
          <w:sz w:val="28"/>
          <w:szCs w:val="28"/>
          <w:lang w:val="nl-NL"/>
        </w:rPr>
      </w:pPr>
      <w:r w:rsidRPr="00A71018">
        <w:rPr>
          <w:bCs/>
          <w:i/>
          <w:sz w:val="28"/>
          <w:szCs w:val="28"/>
          <w:lang w:val="nl-NL"/>
        </w:rPr>
        <w:t>-----------------------</w:t>
      </w:r>
    </w:p>
    <w:p w:rsidR="003D319D" w:rsidRPr="003D319D" w:rsidRDefault="003D319D" w:rsidP="003D319D">
      <w:pPr>
        <w:spacing w:before="120" w:line="257" w:lineRule="auto"/>
        <w:ind w:firstLine="720"/>
        <w:jc w:val="both"/>
        <w:rPr>
          <w:sz w:val="28"/>
          <w:szCs w:val="28"/>
          <w:lang w:val="nl-NL"/>
        </w:rPr>
      </w:pPr>
      <w:r w:rsidRPr="003D319D">
        <w:rPr>
          <w:sz w:val="28"/>
          <w:szCs w:val="28"/>
          <w:lang w:val="nl-NL"/>
        </w:rPr>
        <w:t>Căn cứ các qui định của Luật Doanh nghiệp, Luật Chứng khoán và các Nghị định hướng dẫn thi hành;</w:t>
      </w:r>
    </w:p>
    <w:p w:rsidR="003D319D" w:rsidRPr="003D319D" w:rsidRDefault="003D319D" w:rsidP="003D319D">
      <w:pPr>
        <w:spacing w:before="120" w:line="257" w:lineRule="auto"/>
        <w:ind w:firstLine="720"/>
        <w:jc w:val="both"/>
        <w:rPr>
          <w:sz w:val="28"/>
          <w:szCs w:val="28"/>
          <w:lang w:val="nl-NL"/>
        </w:rPr>
      </w:pPr>
      <w:r w:rsidRPr="003D319D">
        <w:rPr>
          <w:sz w:val="28"/>
          <w:szCs w:val="28"/>
          <w:lang w:val="nl-NL"/>
        </w:rPr>
        <w:t xml:space="preserve">Căn cứ Điều lệ hiện hành của Công ty Cổ phần LICOGI13; </w:t>
      </w:r>
    </w:p>
    <w:p w:rsidR="003D319D" w:rsidRPr="003D319D" w:rsidRDefault="003D319D" w:rsidP="003D319D">
      <w:pPr>
        <w:spacing w:before="120" w:line="257" w:lineRule="auto"/>
        <w:ind w:firstLine="720"/>
        <w:jc w:val="both"/>
        <w:rPr>
          <w:sz w:val="28"/>
          <w:szCs w:val="28"/>
          <w:lang w:val="nl-NL"/>
        </w:rPr>
      </w:pPr>
      <w:r w:rsidRPr="003D319D">
        <w:rPr>
          <w:sz w:val="28"/>
          <w:szCs w:val="28"/>
          <w:lang w:val="nl-NL"/>
        </w:rPr>
        <w:t xml:space="preserve">Kính trình Đại hội đồng cổ đông quyết nghị thông qua </w:t>
      </w:r>
      <w:r w:rsidRPr="003D319D">
        <w:rPr>
          <w:b/>
          <w:sz w:val="28"/>
          <w:szCs w:val="28"/>
          <w:lang w:val="nl-NL"/>
        </w:rPr>
        <w:t>một trong hai</w:t>
      </w:r>
      <w:r w:rsidRPr="003D319D">
        <w:rPr>
          <w:sz w:val="28"/>
          <w:szCs w:val="28"/>
          <w:lang w:val="nl-NL"/>
        </w:rPr>
        <w:t xml:space="preserve"> </w:t>
      </w:r>
      <w:r w:rsidRPr="003D319D">
        <w:rPr>
          <w:bCs/>
          <w:sz w:val="28"/>
          <w:szCs w:val="28"/>
          <w:lang w:val="nl-NL"/>
        </w:rPr>
        <w:t>Phương án phát</w:t>
      </w:r>
      <w:r w:rsidRPr="003D319D">
        <w:rPr>
          <w:bCs/>
          <w:sz w:val="28"/>
          <w:szCs w:val="28"/>
        </w:rPr>
        <w:t xml:space="preserve"> hành </w:t>
      </w:r>
      <w:r w:rsidRPr="003D319D">
        <w:rPr>
          <w:bCs/>
          <w:sz w:val="28"/>
          <w:szCs w:val="28"/>
          <w:lang w:val="nl-NL"/>
        </w:rPr>
        <w:t>cổ phiếu tăng vốn điều lệ; Thông qua Phương án phát hành trái phiếu chuyển đổi phục vụ SXKD và đầu tư, bổ sung vốn lưu động năm 2020,</w:t>
      </w:r>
      <w:r w:rsidRPr="003D319D">
        <w:rPr>
          <w:sz w:val="28"/>
          <w:szCs w:val="28"/>
          <w:lang w:val="nl-NL"/>
        </w:rPr>
        <w:t xml:space="preserve"> cụ thể như sau: </w:t>
      </w:r>
    </w:p>
    <w:p w:rsidR="003D319D" w:rsidRPr="00A71018" w:rsidRDefault="003D319D" w:rsidP="003D319D">
      <w:pPr>
        <w:spacing w:before="120" w:line="257" w:lineRule="auto"/>
        <w:ind w:firstLine="720"/>
        <w:jc w:val="both"/>
        <w:rPr>
          <w:b/>
          <w:sz w:val="28"/>
          <w:szCs w:val="28"/>
          <w:lang w:val="nl-NL"/>
        </w:rPr>
      </w:pPr>
      <w:r w:rsidRPr="00A71018">
        <w:rPr>
          <w:b/>
          <w:sz w:val="28"/>
          <w:szCs w:val="28"/>
          <w:lang w:val="nl-NL"/>
        </w:rPr>
        <w:t xml:space="preserve">I. Phương án phát hành </w:t>
      </w:r>
      <w:r>
        <w:rPr>
          <w:b/>
          <w:sz w:val="28"/>
          <w:szCs w:val="28"/>
          <w:lang w:val="nl-NL"/>
        </w:rPr>
        <w:t>cổ</w:t>
      </w:r>
      <w:r>
        <w:rPr>
          <w:b/>
          <w:sz w:val="28"/>
          <w:szCs w:val="28"/>
        </w:rPr>
        <w:t xml:space="preserve"> phiếu </w:t>
      </w:r>
      <w:r w:rsidRPr="00A71018">
        <w:rPr>
          <w:b/>
          <w:sz w:val="28"/>
          <w:szCs w:val="28"/>
          <w:lang w:val="nl-NL"/>
        </w:rPr>
        <w:t>tăng vốn điều lệ:</w:t>
      </w:r>
    </w:p>
    <w:p w:rsidR="003D319D" w:rsidRPr="00A71018" w:rsidRDefault="003D319D" w:rsidP="003D319D">
      <w:pPr>
        <w:spacing w:before="80" w:after="40" w:line="276" w:lineRule="auto"/>
        <w:ind w:firstLine="720"/>
        <w:jc w:val="both"/>
        <w:rPr>
          <w:bCs/>
          <w:sz w:val="28"/>
          <w:szCs w:val="28"/>
        </w:rPr>
      </w:pPr>
      <w:r w:rsidRPr="00A71018">
        <w:rPr>
          <w:bCs/>
          <w:sz w:val="28"/>
          <w:szCs w:val="28"/>
        </w:rPr>
        <w:t>1. Phương</w:t>
      </w:r>
      <w:r>
        <w:rPr>
          <w:bCs/>
          <w:sz w:val="28"/>
          <w:szCs w:val="28"/>
        </w:rPr>
        <w:t xml:space="preserve"> án phát hành</w:t>
      </w:r>
      <w:r w:rsidRPr="00A71018">
        <w:rPr>
          <w:bCs/>
          <w:sz w:val="28"/>
          <w:szCs w:val="28"/>
        </w:rPr>
        <w:t xml:space="preserve"> cho cổ đông hiện hữu (</w:t>
      </w:r>
      <w:r w:rsidRPr="00A71018">
        <w:rPr>
          <w:bCs/>
          <w:i/>
          <w:sz w:val="28"/>
          <w:szCs w:val="28"/>
        </w:rPr>
        <w:t xml:space="preserve">Phương án </w:t>
      </w:r>
      <w:r w:rsidR="00241EA0">
        <w:rPr>
          <w:bCs/>
          <w:i/>
          <w:sz w:val="28"/>
          <w:szCs w:val="28"/>
        </w:rPr>
        <w:t>nêu tại báo cáo</w:t>
      </w:r>
      <w:r w:rsidRPr="006F71B2">
        <w:rPr>
          <w:bCs/>
          <w:i/>
          <w:sz w:val="28"/>
          <w:szCs w:val="28"/>
        </w:rPr>
        <w:t>);</w:t>
      </w:r>
      <w:r w:rsidRPr="00A71018">
        <w:rPr>
          <w:bCs/>
          <w:sz w:val="28"/>
          <w:szCs w:val="28"/>
        </w:rPr>
        <w:t xml:space="preserve"> </w:t>
      </w:r>
    </w:p>
    <w:p w:rsidR="003D319D" w:rsidRPr="00A71018" w:rsidRDefault="003D319D" w:rsidP="003D319D">
      <w:pPr>
        <w:spacing w:before="40" w:after="40" w:line="360" w:lineRule="exact"/>
        <w:ind w:firstLine="720"/>
        <w:jc w:val="both"/>
        <w:rPr>
          <w:bCs/>
          <w:sz w:val="28"/>
          <w:szCs w:val="28"/>
        </w:rPr>
      </w:pPr>
      <w:r w:rsidRPr="00A71018">
        <w:rPr>
          <w:bCs/>
          <w:sz w:val="28"/>
          <w:szCs w:val="28"/>
        </w:rPr>
        <w:t>Ủy quyền cho HĐQT:</w:t>
      </w:r>
      <w:r>
        <w:rPr>
          <w:bCs/>
          <w:sz w:val="28"/>
          <w:szCs w:val="28"/>
        </w:rPr>
        <w:t xml:space="preserve"> </w:t>
      </w:r>
      <w:r w:rsidRPr="00A71018">
        <w:rPr>
          <w:bCs/>
          <w:sz w:val="28"/>
          <w:szCs w:val="28"/>
        </w:rPr>
        <w:t>Triển khai và thực hiệ</w:t>
      </w:r>
      <w:r>
        <w:rPr>
          <w:bCs/>
          <w:sz w:val="28"/>
          <w:szCs w:val="28"/>
        </w:rPr>
        <w:t>n phương án chào bán</w:t>
      </w:r>
      <w:r w:rsidRPr="00A71018">
        <w:rPr>
          <w:bCs/>
          <w:sz w:val="28"/>
          <w:szCs w:val="28"/>
        </w:rPr>
        <w:t xml:space="preserve"> chi tiết cho từng giai đoạn;  Xử lý cổ phần lẻ, cổ phiếu cổ đông từ chối mua (nếu có); Lựa chọn đối tượng khác để phân phối cổ phần trong trường hợp cổ phiếu lẻ phát sinh do làm tròn xuống và cổ phần không bán hết do cổ đông hiện hữu từ chối mua với điều kiện không thuận lợi hơn so với điều kiện chào bán cho cổ đông hiện hữu; Thay đổi mức vốn điều lệ trong điều lệ Công ty và Đăng ký kinh doanh theo kết quả phát hành cuối cùng; Hoàn tất các thủ tục liên quan đến việc lưu ký bổ sung và niêm yết bổ sung cổ phiếu phát hành thêm Sở giao dịch Chứng khoán Hà Nội theo quy định của pháp luật hiện hành và các vấn đề liên quan cần thiết khác.</w:t>
      </w:r>
    </w:p>
    <w:p w:rsidR="003D319D" w:rsidRPr="00A71018" w:rsidRDefault="003D319D" w:rsidP="003D319D">
      <w:pPr>
        <w:spacing w:before="80" w:after="40" w:line="276" w:lineRule="auto"/>
        <w:jc w:val="both"/>
        <w:rPr>
          <w:bCs/>
          <w:sz w:val="28"/>
          <w:szCs w:val="28"/>
        </w:rPr>
      </w:pPr>
      <w:r w:rsidRPr="00A71018">
        <w:rPr>
          <w:bCs/>
          <w:sz w:val="28"/>
          <w:szCs w:val="28"/>
        </w:rPr>
        <w:t xml:space="preserve"> </w:t>
      </w:r>
      <w:r w:rsidRPr="00A71018">
        <w:rPr>
          <w:bCs/>
          <w:sz w:val="28"/>
          <w:szCs w:val="28"/>
        </w:rPr>
        <w:tab/>
        <w:t xml:space="preserve"> 2. </w:t>
      </w:r>
      <w:r>
        <w:rPr>
          <w:bCs/>
          <w:sz w:val="28"/>
          <w:szCs w:val="28"/>
        </w:rPr>
        <w:t>Phương án phát hành</w:t>
      </w:r>
      <w:r w:rsidRPr="00A71018">
        <w:rPr>
          <w:bCs/>
          <w:sz w:val="28"/>
          <w:szCs w:val="28"/>
        </w:rPr>
        <w:t xml:space="preserve"> riêng lẻ (</w:t>
      </w:r>
      <w:r w:rsidRPr="00A71018">
        <w:rPr>
          <w:bCs/>
          <w:i/>
          <w:sz w:val="28"/>
          <w:szCs w:val="28"/>
        </w:rPr>
        <w:t xml:space="preserve">Phương án </w:t>
      </w:r>
      <w:r w:rsidR="00241EA0">
        <w:rPr>
          <w:bCs/>
          <w:i/>
          <w:sz w:val="28"/>
          <w:szCs w:val="28"/>
        </w:rPr>
        <w:t>nêu tại báo cáo</w:t>
      </w:r>
      <w:r w:rsidRPr="00A71018">
        <w:rPr>
          <w:bCs/>
          <w:sz w:val="28"/>
          <w:szCs w:val="28"/>
        </w:rPr>
        <w:t xml:space="preserve">). </w:t>
      </w:r>
    </w:p>
    <w:p w:rsidR="003D319D" w:rsidRPr="00A71018" w:rsidRDefault="003D319D" w:rsidP="003D319D">
      <w:pPr>
        <w:spacing w:before="80" w:after="40" w:line="276" w:lineRule="auto"/>
        <w:ind w:firstLine="720"/>
        <w:jc w:val="both"/>
        <w:rPr>
          <w:bCs/>
          <w:sz w:val="28"/>
          <w:szCs w:val="28"/>
        </w:rPr>
      </w:pPr>
      <w:r w:rsidRPr="00A71018">
        <w:rPr>
          <w:bCs/>
          <w:sz w:val="28"/>
          <w:szCs w:val="28"/>
        </w:rPr>
        <w:t>Ủy quyền cho HĐQT: L</w:t>
      </w:r>
      <w:r>
        <w:rPr>
          <w:bCs/>
          <w:sz w:val="28"/>
          <w:szCs w:val="28"/>
        </w:rPr>
        <w:t>ựa chọn tổ chức tư vấn chào bán</w:t>
      </w:r>
      <w:r w:rsidRPr="00A71018">
        <w:rPr>
          <w:bCs/>
          <w:sz w:val="28"/>
          <w:szCs w:val="28"/>
        </w:rPr>
        <w:t xml:space="preserve"> (nếu cần); Xây dựng tiêu chí lựa chọn và lập danh sách đối tác chiến lược mua được cổ phiếu; Triển khai và thực hiện phương án phát hành chi tiết (thời điểm phát hành, hạn chế chuyển nhượng, các thủ tục cần thiết khác…); Điều chỉnh phương án sử dụng vốn thu được từ đợt phát hành trong trường hợp cần thiết cho phù hợp với tình hình thực tế, chiến lược đầu tư và định hướng phát triển của Công ty theo đúng qui định của Pháp luật; Lựa chọn thời gian phù hợp bảo đảm phát hành tăng vốn thành công; Các vấn đề liên quan cần thiết khác.</w:t>
      </w:r>
    </w:p>
    <w:p w:rsidR="003D319D" w:rsidRPr="00A71018" w:rsidRDefault="003D319D" w:rsidP="003D319D">
      <w:pPr>
        <w:spacing w:before="80" w:after="40" w:line="276" w:lineRule="auto"/>
        <w:ind w:firstLine="720"/>
        <w:jc w:val="both"/>
        <w:rPr>
          <w:bCs/>
          <w:sz w:val="28"/>
          <w:szCs w:val="28"/>
        </w:rPr>
      </w:pPr>
      <w:r w:rsidRPr="00A71018">
        <w:rPr>
          <w:b/>
          <w:bCs/>
          <w:sz w:val="28"/>
          <w:szCs w:val="28"/>
        </w:rPr>
        <w:t xml:space="preserve">II.  Phát hành trái phiếu </w:t>
      </w:r>
      <w:r w:rsidRPr="00A71018">
        <w:rPr>
          <w:bCs/>
          <w:sz w:val="28"/>
          <w:szCs w:val="28"/>
        </w:rPr>
        <w:t>(</w:t>
      </w:r>
      <w:r w:rsidRPr="00A71018">
        <w:rPr>
          <w:bCs/>
          <w:i/>
          <w:sz w:val="28"/>
          <w:szCs w:val="28"/>
        </w:rPr>
        <w:t xml:space="preserve">Phương án </w:t>
      </w:r>
      <w:r w:rsidR="00241EA0">
        <w:rPr>
          <w:bCs/>
          <w:i/>
          <w:sz w:val="28"/>
          <w:szCs w:val="28"/>
        </w:rPr>
        <w:t>nêu tại báo cáo</w:t>
      </w:r>
      <w:r w:rsidRPr="00A71018">
        <w:rPr>
          <w:bCs/>
          <w:sz w:val="28"/>
          <w:szCs w:val="28"/>
        </w:rPr>
        <w:t xml:space="preserve">). </w:t>
      </w:r>
    </w:p>
    <w:p w:rsidR="003D319D" w:rsidRPr="00A71018" w:rsidRDefault="003D319D" w:rsidP="003D319D">
      <w:pPr>
        <w:spacing w:before="80" w:after="40" w:line="276" w:lineRule="auto"/>
        <w:ind w:firstLine="720"/>
        <w:jc w:val="both"/>
        <w:rPr>
          <w:bCs/>
          <w:sz w:val="28"/>
          <w:szCs w:val="28"/>
        </w:rPr>
      </w:pPr>
      <w:r w:rsidRPr="00A71018">
        <w:rPr>
          <w:bCs/>
          <w:sz w:val="28"/>
          <w:szCs w:val="28"/>
        </w:rPr>
        <w:t>Ủy quyền cho HĐQT quyết</w:t>
      </w:r>
      <w:r>
        <w:rPr>
          <w:bCs/>
          <w:sz w:val="28"/>
          <w:szCs w:val="28"/>
        </w:rPr>
        <w:t xml:space="preserve"> định phương án phát hành trái </w:t>
      </w:r>
      <w:r w:rsidRPr="00A71018">
        <w:rPr>
          <w:bCs/>
          <w:sz w:val="28"/>
          <w:szCs w:val="28"/>
        </w:rPr>
        <w:t xml:space="preserve">phiếu chi tiết bao gồm nhưng không giới hạn các vấn đề: Phương thức phát hành; Thời điểm phát hành; </w:t>
      </w:r>
      <w:r w:rsidRPr="00A71018">
        <w:rPr>
          <w:bCs/>
          <w:sz w:val="28"/>
          <w:szCs w:val="28"/>
        </w:rPr>
        <w:lastRenderedPageBreak/>
        <w:t xml:space="preserve">Lãi suất trái phiếu; Kỳ hạn trái phiếu; Phương thức thanh toán gốc, lãi trái phiếu; Lựa chọn đơn vị tư vấn và đại lý phát hành, lưu ký, thanh toán; Phương án sử dụng vốn chi tiết từ đợt phát hành; Việc dùng tài sản của Công ty hoặc tài sản của bên thứ </w:t>
      </w:r>
      <w:r>
        <w:rPr>
          <w:bCs/>
          <w:sz w:val="28"/>
          <w:szCs w:val="28"/>
        </w:rPr>
        <w:t>ba</w:t>
      </w:r>
      <w:r w:rsidRPr="00A71018">
        <w:rPr>
          <w:bCs/>
          <w:sz w:val="28"/>
          <w:szCs w:val="28"/>
        </w:rPr>
        <w:t xml:space="preserve"> để làm tài sản bảo đảm cho trái phiếu (nếu có); Triển khai các thủ tục cần thiết để thực hiện đợt phát hành thành công.</w:t>
      </w:r>
    </w:p>
    <w:p w:rsidR="003D319D" w:rsidRDefault="003D319D" w:rsidP="003D319D">
      <w:pPr>
        <w:spacing w:before="80" w:after="40" w:line="276" w:lineRule="auto"/>
        <w:jc w:val="both"/>
        <w:rPr>
          <w:bCs/>
          <w:i/>
          <w:sz w:val="28"/>
          <w:szCs w:val="28"/>
        </w:rPr>
      </w:pPr>
      <w:bookmarkStart w:id="0" w:name="_GoBack"/>
      <w:bookmarkEnd w:id="0"/>
      <w:r w:rsidRPr="00A71018">
        <w:rPr>
          <w:bCs/>
          <w:sz w:val="28"/>
          <w:szCs w:val="28"/>
        </w:rPr>
        <w:tab/>
      </w:r>
      <w:r w:rsidRPr="00A71018">
        <w:rPr>
          <w:bCs/>
          <w:i/>
          <w:sz w:val="28"/>
          <w:szCs w:val="28"/>
        </w:rPr>
        <w:t>Kính trình quí vị cổ đông lựa chọn và thông qua</w:t>
      </w:r>
      <w:r>
        <w:rPr>
          <w:bCs/>
          <w:i/>
          <w:sz w:val="28"/>
          <w:szCs w:val="28"/>
        </w:rPr>
        <w:t>.</w:t>
      </w:r>
    </w:p>
    <w:p w:rsidR="003D319D" w:rsidRPr="00A71018" w:rsidRDefault="003D319D" w:rsidP="003D319D">
      <w:pPr>
        <w:spacing w:before="80" w:after="40" w:line="276" w:lineRule="auto"/>
        <w:jc w:val="both"/>
        <w:rPr>
          <w:sz w:val="28"/>
          <w:szCs w:val="28"/>
          <w:lang w:val="nl-NL"/>
        </w:rPr>
      </w:pPr>
      <w:r w:rsidRPr="00A71018">
        <w:rPr>
          <w:bCs/>
          <w:sz w:val="28"/>
          <w:szCs w:val="28"/>
        </w:rPr>
        <w:tab/>
      </w:r>
      <w:r w:rsidRPr="00A71018">
        <w:rPr>
          <w:i/>
          <w:sz w:val="28"/>
          <w:szCs w:val="28"/>
          <w:lang w:val="nl-NL"/>
        </w:rPr>
        <w:t>Trân trọng cảm ơn!</w:t>
      </w:r>
    </w:p>
    <w:p w:rsidR="003D319D" w:rsidRPr="006F71B2" w:rsidRDefault="003D319D" w:rsidP="003D319D">
      <w:pPr>
        <w:spacing w:line="257" w:lineRule="auto"/>
        <w:rPr>
          <w:b/>
          <w:sz w:val="28"/>
          <w:szCs w:val="28"/>
          <w:lang w:val="nl-NL"/>
        </w:rPr>
      </w:pPr>
      <w:r w:rsidRPr="00A71018">
        <w:rPr>
          <w:sz w:val="28"/>
          <w:szCs w:val="28"/>
          <w:lang w:val="nl-NL"/>
        </w:rPr>
        <w:tab/>
      </w:r>
      <w:r w:rsidRPr="00A71018">
        <w:rPr>
          <w:sz w:val="28"/>
          <w:szCs w:val="28"/>
          <w:lang w:val="nl-NL"/>
        </w:rPr>
        <w:tab/>
      </w:r>
      <w:r w:rsidRPr="00A71018">
        <w:rPr>
          <w:sz w:val="28"/>
          <w:szCs w:val="28"/>
          <w:lang w:val="nl-NL"/>
        </w:rPr>
        <w:tab/>
      </w:r>
      <w:r w:rsidRPr="00A71018">
        <w:rPr>
          <w:sz w:val="28"/>
          <w:szCs w:val="28"/>
          <w:lang w:val="nl-NL"/>
        </w:rPr>
        <w:tab/>
      </w:r>
      <w:r w:rsidRPr="00A71018">
        <w:rPr>
          <w:sz w:val="28"/>
          <w:szCs w:val="28"/>
          <w:lang w:val="nl-NL"/>
        </w:rPr>
        <w:tab/>
      </w:r>
      <w:r w:rsidRPr="00A71018">
        <w:rPr>
          <w:sz w:val="28"/>
          <w:szCs w:val="28"/>
          <w:lang w:val="nl-NL"/>
        </w:rPr>
        <w:tab/>
      </w:r>
      <w:r w:rsidRPr="00A71018">
        <w:rPr>
          <w:sz w:val="28"/>
          <w:szCs w:val="28"/>
          <w:lang w:val="nl-NL"/>
        </w:rPr>
        <w:tab/>
      </w:r>
      <w:r w:rsidRPr="006F71B2">
        <w:rPr>
          <w:b/>
          <w:sz w:val="28"/>
          <w:szCs w:val="28"/>
          <w:lang w:val="nl-NL"/>
        </w:rPr>
        <w:t>TM. HỘI ĐỒNG QUẢN TRỊ</w:t>
      </w:r>
    </w:p>
    <w:p w:rsidR="003D319D" w:rsidRPr="006F71B2" w:rsidRDefault="003D319D" w:rsidP="003D319D">
      <w:pPr>
        <w:spacing w:line="257" w:lineRule="auto"/>
        <w:rPr>
          <w:b/>
          <w:sz w:val="28"/>
          <w:szCs w:val="28"/>
          <w:lang w:val="nl-NL"/>
        </w:rPr>
      </w:pPr>
      <w:r w:rsidRPr="006F71B2">
        <w:rPr>
          <w:b/>
          <w:sz w:val="28"/>
          <w:szCs w:val="28"/>
          <w:lang w:val="nl-NL"/>
        </w:rPr>
        <w:tab/>
      </w:r>
      <w:r w:rsidRPr="006F71B2">
        <w:rPr>
          <w:b/>
          <w:sz w:val="28"/>
          <w:szCs w:val="28"/>
          <w:lang w:val="nl-NL"/>
        </w:rPr>
        <w:tab/>
      </w:r>
      <w:r w:rsidRPr="006F71B2">
        <w:rPr>
          <w:b/>
          <w:sz w:val="28"/>
          <w:szCs w:val="28"/>
          <w:lang w:val="nl-NL"/>
        </w:rPr>
        <w:tab/>
      </w:r>
      <w:r w:rsidRPr="006F71B2">
        <w:rPr>
          <w:b/>
          <w:sz w:val="28"/>
          <w:szCs w:val="28"/>
          <w:lang w:val="nl-NL"/>
        </w:rPr>
        <w:tab/>
      </w:r>
      <w:r w:rsidRPr="006F71B2">
        <w:rPr>
          <w:b/>
          <w:sz w:val="28"/>
          <w:szCs w:val="28"/>
          <w:lang w:val="nl-NL"/>
        </w:rPr>
        <w:tab/>
      </w:r>
      <w:r w:rsidRPr="006F71B2">
        <w:rPr>
          <w:b/>
          <w:sz w:val="28"/>
          <w:szCs w:val="28"/>
          <w:lang w:val="nl-NL"/>
        </w:rPr>
        <w:tab/>
      </w:r>
      <w:r w:rsidRPr="006F71B2">
        <w:rPr>
          <w:b/>
          <w:sz w:val="28"/>
          <w:szCs w:val="28"/>
          <w:lang w:val="nl-NL"/>
        </w:rPr>
        <w:tab/>
      </w:r>
      <w:r w:rsidRPr="006F71B2">
        <w:rPr>
          <w:b/>
          <w:sz w:val="28"/>
          <w:szCs w:val="28"/>
          <w:lang w:val="nl-NL"/>
        </w:rPr>
        <w:tab/>
        <w:t xml:space="preserve">     CHỦ TỊCH</w:t>
      </w:r>
    </w:p>
    <w:p w:rsidR="003D319D" w:rsidRPr="00A71018" w:rsidRDefault="003D319D" w:rsidP="003D319D">
      <w:pPr>
        <w:spacing w:before="120" w:line="257" w:lineRule="auto"/>
        <w:rPr>
          <w:sz w:val="28"/>
          <w:szCs w:val="28"/>
          <w:lang w:val="nl-NL"/>
        </w:rPr>
      </w:pPr>
      <w:r w:rsidRPr="00A71018">
        <w:rPr>
          <w:sz w:val="28"/>
          <w:szCs w:val="28"/>
          <w:lang w:val="nl-NL"/>
        </w:rPr>
        <w:tab/>
      </w:r>
    </w:p>
    <w:p w:rsidR="003D319D" w:rsidRPr="00A71018" w:rsidRDefault="003D319D" w:rsidP="003D319D">
      <w:pPr>
        <w:spacing w:before="120" w:line="257" w:lineRule="auto"/>
        <w:rPr>
          <w:sz w:val="28"/>
          <w:szCs w:val="28"/>
          <w:lang w:val="nl-NL"/>
        </w:rPr>
      </w:pPr>
    </w:p>
    <w:p w:rsidR="003D319D" w:rsidRDefault="003D319D" w:rsidP="003D319D">
      <w:pPr>
        <w:spacing w:before="120" w:line="257" w:lineRule="auto"/>
        <w:rPr>
          <w:sz w:val="28"/>
          <w:szCs w:val="28"/>
          <w:lang w:val="nl-NL"/>
        </w:rPr>
      </w:pPr>
    </w:p>
    <w:p w:rsidR="003D319D" w:rsidRPr="00A71018" w:rsidRDefault="003D319D" w:rsidP="003D319D">
      <w:pPr>
        <w:spacing w:before="120" w:line="257" w:lineRule="auto"/>
        <w:rPr>
          <w:sz w:val="28"/>
          <w:szCs w:val="28"/>
          <w:lang w:val="nl-NL"/>
        </w:rPr>
      </w:pPr>
    </w:p>
    <w:p w:rsidR="003D319D" w:rsidRPr="00A71018" w:rsidRDefault="003D319D" w:rsidP="003D319D">
      <w:pPr>
        <w:spacing w:before="120" w:line="257" w:lineRule="auto"/>
        <w:ind w:left="5040" w:firstLine="720"/>
        <w:rPr>
          <w:b/>
          <w:sz w:val="28"/>
          <w:szCs w:val="28"/>
          <w:lang w:val="nl-NL"/>
        </w:rPr>
      </w:pPr>
      <w:r w:rsidRPr="00A71018">
        <w:rPr>
          <w:b/>
          <w:sz w:val="28"/>
          <w:szCs w:val="28"/>
          <w:lang w:val="nl-NL"/>
        </w:rPr>
        <w:t xml:space="preserve"> </w:t>
      </w:r>
      <w:r>
        <w:rPr>
          <w:b/>
          <w:sz w:val="28"/>
          <w:szCs w:val="28"/>
          <w:lang w:val="nl-NL"/>
        </w:rPr>
        <w:t xml:space="preserve"> </w:t>
      </w:r>
      <w:r w:rsidRPr="00A71018">
        <w:rPr>
          <w:b/>
          <w:sz w:val="28"/>
          <w:szCs w:val="28"/>
          <w:lang w:val="nl-NL"/>
        </w:rPr>
        <w:t xml:space="preserve"> Bùi Đình Sơn</w:t>
      </w:r>
    </w:p>
    <w:p w:rsidR="003D319D" w:rsidRDefault="003D319D" w:rsidP="003D319D">
      <w:pPr>
        <w:spacing w:before="120" w:line="252" w:lineRule="auto"/>
        <w:jc w:val="center"/>
        <w:rPr>
          <w:b/>
          <w:bCs/>
          <w:sz w:val="30"/>
          <w:szCs w:val="30"/>
        </w:rPr>
      </w:pPr>
    </w:p>
    <w:p w:rsidR="003D319D" w:rsidRDefault="003D319D" w:rsidP="003D319D">
      <w:pPr>
        <w:spacing w:before="120" w:line="252" w:lineRule="auto"/>
        <w:jc w:val="center"/>
        <w:rPr>
          <w:b/>
          <w:bCs/>
          <w:sz w:val="30"/>
          <w:szCs w:val="30"/>
        </w:rPr>
      </w:pPr>
    </w:p>
    <w:p w:rsidR="003D319D" w:rsidRDefault="003D319D" w:rsidP="003D319D">
      <w:pPr>
        <w:spacing w:before="120" w:line="252" w:lineRule="auto"/>
        <w:jc w:val="center"/>
        <w:rPr>
          <w:b/>
          <w:bCs/>
          <w:sz w:val="30"/>
          <w:szCs w:val="30"/>
        </w:rPr>
      </w:pPr>
    </w:p>
    <w:p w:rsidR="003D319D" w:rsidRDefault="003D319D" w:rsidP="003D319D">
      <w:pPr>
        <w:spacing w:before="120" w:line="252" w:lineRule="auto"/>
        <w:jc w:val="center"/>
        <w:rPr>
          <w:b/>
          <w:bCs/>
          <w:sz w:val="30"/>
          <w:szCs w:val="30"/>
        </w:rPr>
      </w:pPr>
    </w:p>
    <w:p w:rsidR="003D319D" w:rsidRDefault="003D319D" w:rsidP="003D319D">
      <w:pPr>
        <w:spacing w:before="120" w:line="252" w:lineRule="auto"/>
        <w:jc w:val="center"/>
        <w:rPr>
          <w:b/>
          <w:bCs/>
          <w:sz w:val="30"/>
          <w:szCs w:val="30"/>
        </w:rPr>
      </w:pPr>
    </w:p>
    <w:p w:rsidR="003D319D" w:rsidRDefault="003D319D" w:rsidP="003D319D">
      <w:pPr>
        <w:spacing w:before="120" w:line="252" w:lineRule="auto"/>
        <w:jc w:val="center"/>
        <w:rPr>
          <w:b/>
          <w:bCs/>
          <w:sz w:val="30"/>
          <w:szCs w:val="30"/>
        </w:rPr>
      </w:pPr>
    </w:p>
    <w:p w:rsidR="003D319D" w:rsidRDefault="003D319D" w:rsidP="003D319D">
      <w:pPr>
        <w:spacing w:before="120" w:line="252" w:lineRule="auto"/>
        <w:jc w:val="center"/>
        <w:rPr>
          <w:b/>
          <w:bCs/>
          <w:sz w:val="30"/>
          <w:szCs w:val="30"/>
        </w:rPr>
      </w:pPr>
    </w:p>
    <w:p w:rsidR="003D319D" w:rsidRDefault="003D319D" w:rsidP="003D319D">
      <w:pPr>
        <w:spacing w:before="120" w:line="252" w:lineRule="auto"/>
        <w:jc w:val="center"/>
        <w:rPr>
          <w:b/>
          <w:bCs/>
          <w:sz w:val="30"/>
          <w:szCs w:val="30"/>
        </w:rPr>
      </w:pPr>
    </w:p>
    <w:p w:rsidR="003D319D" w:rsidRDefault="003D319D" w:rsidP="003D319D">
      <w:pPr>
        <w:spacing w:before="120" w:line="252" w:lineRule="auto"/>
        <w:jc w:val="center"/>
        <w:rPr>
          <w:b/>
          <w:bCs/>
          <w:sz w:val="30"/>
          <w:szCs w:val="30"/>
        </w:rPr>
      </w:pPr>
    </w:p>
    <w:p w:rsidR="003D319D" w:rsidRDefault="003D319D" w:rsidP="003D319D">
      <w:pPr>
        <w:spacing w:before="120" w:line="252" w:lineRule="auto"/>
        <w:jc w:val="center"/>
        <w:rPr>
          <w:b/>
          <w:bCs/>
          <w:sz w:val="30"/>
          <w:szCs w:val="30"/>
        </w:rPr>
      </w:pPr>
    </w:p>
    <w:p w:rsidR="003D319D" w:rsidRDefault="003D319D" w:rsidP="003D319D">
      <w:pPr>
        <w:spacing w:before="120" w:line="252" w:lineRule="auto"/>
        <w:jc w:val="center"/>
        <w:rPr>
          <w:b/>
          <w:bCs/>
          <w:sz w:val="30"/>
          <w:szCs w:val="30"/>
        </w:rPr>
      </w:pPr>
    </w:p>
    <w:p w:rsidR="003D319D" w:rsidRDefault="003D319D" w:rsidP="003D319D">
      <w:pPr>
        <w:spacing w:before="120" w:line="252" w:lineRule="auto"/>
        <w:jc w:val="center"/>
        <w:rPr>
          <w:b/>
          <w:bCs/>
          <w:sz w:val="30"/>
          <w:szCs w:val="30"/>
        </w:rPr>
      </w:pPr>
    </w:p>
    <w:p w:rsidR="003D319D" w:rsidRDefault="003D319D" w:rsidP="003D319D">
      <w:pPr>
        <w:spacing w:before="120" w:line="252" w:lineRule="auto"/>
        <w:jc w:val="center"/>
        <w:rPr>
          <w:b/>
          <w:bCs/>
          <w:sz w:val="30"/>
          <w:szCs w:val="30"/>
        </w:rPr>
      </w:pPr>
    </w:p>
    <w:p w:rsidR="003D319D" w:rsidRDefault="003D319D" w:rsidP="003D319D">
      <w:pPr>
        <w:spacing w:before="120" w:line="252" w:lineRule="auto"/>
        <w:jc w:val="center"/>
        <w:rPr>
          <w:b/>
          <w:bCs/>
          <w:sz w:val="30"/>
          <w:szCs w:val="30"/>
        </w:rPr>
      </w:pPr>
    </w:p>
    <w:p w:rsidR="003D319D" w:rsidRDefault="003D319D" w:rsidP="003D319D">
      <w:pPr>
        <w:spacing w:before="120" w:line="252" w:lineRule="auto"/>
        <w:jc w:val="center"/>
        <w:rPr>
          <w:b/>
          <w:bCs/>
          <w:sz w:val="30"/>
          <w:szCs w:val="30"/>
        </w:rPr>
      </w:pPr>
    </w:p>
    <w:p w:rsidR="003D319D" w:rsidRDefault="003D319D" w:rsidP="003D319D">
      <w:pPr>
        <w:spacing w:before="120" w:line="252" w:lineRule="auto"/>
        <w:jc w:val="center"/>
        <w:rPr>
          <w:b/>
          <w:bCs/>
          <w:sz w:val="30"/>
          <w:szCs w:val="30"/>
        </w:rPr>
      </w:pPr>
    </w:p>
    <w:p w:rsidR="003D319D" w:rsidRDefault="003D319D" w:rsidP="003D319D">
      <w:pPr>
        <w:spacing w:before="120" w:line="252" w:lineRule="auto"/>
        <w:jc w:val="center"/>
        <w:rPr>
          <w:b/>
          <w:bCs/>
          <w:sz w:val="30"/>
          <w:szCs w:val="30"/>
        </w:rPr>
      </w:pPr>
    </w:p>
    <w:sectPr w:rsidR="003D319D" w:rsidSect="005738B9">
      <w:headerReference w:type="default" r:id="rId7"/>
      <w:footerReference w:type="default" r:id="rId8"/>
      <w:pgSz w:w="11909" w:h="16834" w:code="9"/>
      <w:pgMar w:top="1080" w:right="1109" w:bottom="9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2737" w:rsidRDefault="00982737">
      <w:r>
        <w:separator/>
      </w:r>
    </w:p>
  </w:endnote>
  <w:endnote w:type="continuationSeparator" w:id="0">
    <w:p w:rsidR="00982737" w:rsidRDefault="00982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38B9" w:rsidRPr="00705747" w:rsidRDefault="003D319D" w:rsidP="005738B9">
    <w:pPr>
      <w:pStyle w:val="Footer"/>
      <w:spacing w:before="120" w:line="288" w:lineRule="auto"/>
      <w:rPr>
        <w:rFonts w:ascii="Times New Roman Bold" w:hAnsi="Times New Roman Bold"/>
        <w:b/>
      </w:rPr>
    </w:pPr>
    <w:r>
      <w:rPr>
        <w:rFonts w:ascii="Times New Roman Bold" w:hAnsi="Times New Roman Bold"/>
        <w:b/>
        <w:noProof/>
      </w:rPr>
      <mc:AlternateContent>
        <mc:Choice Requires="wps">
          <w:drawing>
            <wp:anchor distT="0" distB="0" distL="114300" distR="114300" simplePos="0" relativeHeight="251660288" behindDoc="0" locked="0" layoutInCell="1" allowOverlap="1" wp14:anchorId="00387E68" wp14:editId="12561A59">
              <wp:simplePos x="0" y="0"/>
              <wp:positionH relativeFrom="column">
                <wp:posOffset>-2540</wp:posOffset>
              </wp:positionH>
              <wp:positionV relativeFrom="paragraph">
                <wp:posOffset>17145</wp:posOffset>
              </wp:positionV>
              <wp:extent cx="5953125" cy="0"/>
              <wp:effectExtent l="0" t="0" r="9525" b="19050"/>
              <wp:wrapNone/>
              <wp:docPr id="43" name="Straight Connector 43"/>
              <wp:cNvGraphicFramePr/>
              <a:graphic xmlns:a="http://schemas.openxmlformats.org/drawingml/2006/main">
                <a:graphicData uri="http://schemas.microsoft.com/office/word/2010/wordprocessingShape">
                  <wps:wsp>
                    <wps:cNvCnPr/>
                    <wps:spPr>
                      <a:xfrm>
                        <a:off x="0" y="0"/>
                        <a:ext cx="5953125" cy="0"/>
                      </a:xfrm>
                      <a:prstGeom prst="line">
                        <a:avLst/>
                      </a:prstGeom>
                      <a:ln w="9525"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cx="http://schemas.microsoft.com/office/drawing/2014/chartex">
          <w:pict>
            <v:line w14:anchorId="00D5B853" id="Straight Connector 4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pt,1.35pt" to="468.5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" strokecolor="black [3213]">
              <v:stroke linestyle="thinThin" joinstyle="miter"/>
            </v:line>
          </w:pict>
        </mc:Fallback>
      </mc:AlternateContent>
    </w:r>
    <w:r w:rsidRPr="00705747">
      <w:rPr>
        <w:rFonts w:ascii="Times New Roman Bold" w:hAnsi="Times New Roman Bold"/>
        <w:b/>
      </w:rPr>
      <w:t>CÔNG TY CỔ PHẦN LICOGI13</w:t>
    </w:r>
  </w:p>
  <w:p w:rsidR="005738B9" w:rsidRDefault="009827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2737" w:rsidRDefault="00982737">
      <w:r>
        <w:separator/>
      </w:r>
    </w:p>
  </w:footnote>
  <w:footnote w:type="continuationSeparator" w:id="0">
    <w:p w:rsidR="00982737" w:rsidRDefault="009827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38B9" w:rsidRPr="00705747" w:rsidRDefault="003D319D" w:rsidP="005738B9">
    <w:pPr>
      <w:pStyle w:val="Footer"/>
      <w:spacing w:after="120" w:line="288" w:lineRule="auto"/>
      <w:rPr>
        <w:rFonts w:ascii="Times New Roman Bold" w:hAnsi="Times New Roman Bold"/>
        <w:b/>
      </w:rPr>
    </w:pPr>
    <w:r>
      <w:rPr>
        <w:rFonts w:ascii="Times New Roman Bold" w:hAnsi="Times New Roman Bold"/>
        <w:b/>
        <w:noProof/>
      </w:rPr>
      <mc:AlternateContent>
        <mc:Choice Requires="wps">
          <w:drawing>
            <wp:anchor distT="0" distB="0" distL="114300" distR="114300" simplePos="0" relativeHeight="251659264" behindDoc="0" locked="0" layoutInCell="1" allowOverlap="1" wp14:anchorId="6A0C7E4A" wp14:editId="7C55BCCA">
              <wp:simplePos x="0" y="0"/>
              <wp:positionH relativeFrom="column">
                <wp:posOffset>-2540</wp:posOffset>
              </wp:positionH>
              <wp:positionV relativeFrom="paragraph">
                <wp:posOffset>209550</wp:posOffset>
              </wp:positionV>
              <wp:extent cx="5953125" cy="0"/>
              <wp:effectExtent l="0" t="0" r="9525" b="19050"/>
              <wp:wrapNone/>
              <wp:docPr id="41" name="Straight Connector 41"/>
              <wp:cNvGraphicFramePr/>
              <a:graphic xmlns:a="http://schemas.openxmlformats.org/drawingml/2006/main">
                <a:graphicData uri="http://schemas.microsoft.com/office/word/2010/wordprocessingShape">
                  <wps:wsp>
                    <wps:cNvCnPr/>
                    <wps:spPr>
                      <a:xfrm>
                        <a:off x="0" y="0"/>
                        <a:ext cx="59531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cx="http://schemas.microsoft.com/office/drawing/2014/chartex">
          <w:pict>
            <v:line w14:anchorId="55D82181" id="Straight Connector 4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pt,16.5pt" to="468.5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" strokecolor="black [3213]" strokeweight=".5pt">
              <v:stroke joinstyle="miter"/>
            </v:line>
          </w:pict>
        </mc:Fallback>
      </mc:AlternateContent>
    </w:r>
    <w:r>
      <w:rPr>
        <w:rFonts w:ascii="Times New Roman Bold" w:hAnsi="Times New Roman Bold"/>
        <w:b/>
      </w:rPr>
      <w:t xml:space="preserve"> ĐẠI HỘI CỔ ĐÔNG THƯỜNG NIÊN 2020</w:t>
    </w:r>
  </w:p>
  <w:p w:rsidR="005738B9" w:rsidRDefault="009827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9"/>
    <w:multiLevelType w:val="multilevel"/>
    <w:tmpl w:val="00000009"/>
    <w:lvl w:ilvl="0">
      <w:start w:val="2"/>
      <w:numFmt w:val="bullet"/>
      <w:lvlText w:val="-"/>
      <w:lvlJc w:val="left"/>
      <w:pPr>
        <w:ind w:left="720" w:hanging="360"/>
      </w:pPr>
      <w:rPr>
        <w:rFonts w:ascii="Times New Roman" w:eastAsia="Calibr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000000A"/>
    <w:multiLevelType w:val="multilevel"/>
    <w:tmpl w:val="0000000A"/>
    <w:lvl w:ilvl="0">
      <w:start w:val="1"/>
      <w:numFmt w:val="bullet"/>
      <w:lvlText w:val=""/>
      <w:lvlJc w:val="left"/>
      <w:pPr>
        <w:ind w:left="1080" w:hanging="360"/>
      </w:pPr>
      <w:rPr>
        <w:rFonts w:ascii="Wingdings" w:hAnsi="Wingding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
    <w:nsid w:val="0000000E"/>
    <w:multiLevelType w:val="multilevel"/>
    <w:tmpl w:val="0000000E"/>
    <w:lvl w:ilvl="0">
      <w:start w:val="150"/>
      <w:numFmt w:val="bullet"/>
      <w:lvlText w:val="-"/>
      <w:lvlJc w:val="left"/>
      <w:pPr>
        <w:ind w:left="720" w:hanging="360"/>
      </w:pPr>
      <w:rPr>
        <w:rFonts w:ascii="Times New Roman" w:eastAsia="Calibr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1D987B12"/>
    <w:multiLevelType w:val="hybridMultilevel"/>
    <w:tmpl w:val="71E0F6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F02B3D"/>
    <w:multiLevelType w:val="multilevel"/>
    <w:tmpl w:val="F80C9F5A"/>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Zero"/>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nsid w:val="2DFA1C04"/>
    <w:multiLevelType w:val="hybridMultilevel"/>
    <w:tmpl w:val="D7A6A30C"/>
    <w:lvl w:ilvl="0" w:tplc="7B82997E">
      <w:start w:val="1"/>
      <w:numFmt w:val="bullet"/>
      <w:lvlText w:val="-"/>
      <w:lvlJc w:val="left"/>
      <w:pPr>
        <w:ind w:left="2847" w:hanging="360"/>
      </w:pPr>
      <w:rPr>
        <w:rFonts w:ascii="Times New Roman" w:eastAsiaTheme="minorHAnsi" w:hAnsi="Times New Roman" w:cs="Times New Roman" w:hint="default"/>
      </w:rPr>
    </w:lvl>
    <w:lvl w:ilvl="1" w:tplc="04090003" w:tentative="1">
      <w:start w:val="1"/>
      <w:numFmt w:val="bullet"/>
      <w:lvlText w:val="o"/>
      <w:lvlJc w:val="left"/>
      <w:pPr>
        <w:ind w:left="3567" w:hanging="360"/>
      </w:pPr>
      <w:rPr>
        <w:rFonts w:ascii="Courier New" w:hAnsi="Courier New" w:cs="Courier New" w:hint="default"/>
      </w:rPr>
    </w:lvl>
    <w:lvl w:ilvl="2" w:tplc="04090005" w:tentative="1">
      <w:start w:val="1"/>
      <w:numFmt w:val="bullet"/>
      <w:lvlText w:val=""/>
      <w:lvlJc w:val="left"/>
      <w:pPr>
        <w:ind w:left="4287" w:hanging="360"/>
      </w:pPr>
      <w:rPr>
        <w:rFonts w:ascii="Wingdings" w:hAnsi="Wingdings" w:hint="default"/>
      </w:rPr>
    </w:lvl>
    <w:lvl w:ilvl="3" w:tplc="04090001" w:tentative="1">
      <w:start w:val="1"/>
      <w:numFmt w:val="bullet"/>
      <w:lvlText w:val=""/>
      <w:lvlJc w:val="left"/>
      <w:pPr>
        <w:ind w:left="5007" w:hanging="360"/>
      </w:pPr>
      <w:rPr>
        <w:rFonts w:ascii="Symbol" w:hAnsi="Symbol" w:hint="default"/>
      </w:rPr>
    </w:lvl>
    <w:lvl w:ilvl="4" w:tplc="04090003" w:tentative="1">
      <w:start w:val="1"/>
      <w:numFmt w:val="bullet"/>
      <w:lvlText w:val="o"/>
      <w:lvlJc w:val="left"/>
      <w:pPr>
        <w:ind w:left="5727" w:hanging="360"/>
      </w:pPr>
      <w:rPr>
        <w:rFonts w:ascii="Courier New" w:hAnsi="Courier New" w:cs="Courier New" w:hint="default"/>
      </w:rPr>
    </w:lvl>
    <w:lvl w:ilvl="5" w:tplc="04090005" w:tentative="1">
      <w:start w:val="1"/>
      <w:numFmt w:val="bullet"/>
      <w:lvlText w:val=""/>
      <w:lvlJc w:val="left"/>
      <w:pPr>
        <w:ind w:left="6447" w:hanging="360"/>
      </w:pPr>
      <w:rPr>
        <w:rFonts w:ascii="Wingdings" w:hAnsi="Wingdings" w:hint="default"/>
      </w:rPr>
    </w:lvl>
    <w:lvl w:ilvl="6" w:tplc="04090001" w:tentative="1">
      <w:start w:val="1"/>
      <w:numFmt w:val="bullet"/>
      <w:lvlText w:val=""/>
      <w:lvlJc w:val="left"/>
      <w:pPr>
        <w:ind w:left="7167" w:hanging="360"/>
      </w:pPr>
      <w:rPr>
        <w:rFonts w:ascii="Symbol" w:hAnsi="Symbol" w:hint="default"/>
      </w:rPr>
    </w:lvl>
    <w:lvl w:ilvl="7" w:tplc="04090003" w:tentative="1">
      <w:start w:val="1"/>
      <w:numFmt w:val="bullet"/>
      <w:lvlText w:val="o"/>
      <w:lvlJc w:val="left"/>
      <w:pPr>
        <w:ind w:left="7887" w:hanging="360"/>
      </w:pPr>
      <w:rPr>
        <w:rFonts w:ascii="Courier New" w:hAnsi="Courier New" w:cs="Courier New" w:hint="default"/>
      </w:rPr>
    </w:lvl>
    <w:lvl w:ilvl="8" w:tplc="04090005" w:tentative="1">
      <w:start w:val="1"/>
      <w:numFmt w:val="bullet"/>
      <w:lvlText w:val=""/>
      <w:lvlJc w:val="left"/>
      <w:pPr>
        <w:ind w:left="8607" w:hanging="360"/>
      </w:pPr>
      <w:rPr>
        <w:rFonts w:ascii="Wingdings" w:hAnsi="Wingdings" w:hint="default"/>
      </w:rPr>
    </w:lvl>
  </w:abstractNum>
  <w:abstractNum w:abstractNumId="6">
    <w:nsid w:val="423B132A"/>
    <w:multiLevelType w:val="hybridMultilevel"/>
    <w:tmpl w:val="ED9297E4"/>
    <w:lvl w:ilvl="0" w:tplc="9B98BE8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15B4980"/>
    <w:multiLevelType w:val="hybridMultilevel"/>
    <w:tmpl w:val="CDF0EAFE"/>
    <w:lvl w:ilvl="0" w:tplc="CF7ED5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3"/>
  </w:num>
  <w:num w:numId="3">
    <w:abstractNumId w:val="1"/>
  </w:num>
  <w:num w:numId="4">
    <w:abstractNumId w:val="2"/>
  </w:num>
  <w:num w:numId="5">
    <w:abstractNumId w:val="0"/>
  </w:num>
  <w:num w:numId="6">
    <w:abstractNumId w:val="5"/>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19D"/>
    <w:rsid w:val="00241EA0"/>
    <w:rsid w:val="003D319D"/>
    <w:rsid w:val="00640BC3"/>
    <w:rsid w:val="00982737"/>
    <w:rsid w:val="00AF03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410F32-D99D-4FC9-862C-792573AF5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319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3D319D"/>
    <w:pPr>
      <w:ind w:left="720"/>
    </w:pPr>
  </w:style>
  <w:style w:type="table" w:styleId="TableGrid">
    <w:name w:val="Table Grid"/>
    <w:basedOn w:val="TableNormal"/>
    <w:uiPriority w:val="39"/>
    <w:rsid w:val="003D31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D319D"/>
    <w:pPr>
      <w:tabs>
        <w:tab w:val="center" w:pos="4680"/>
        <w:tab w:val="right" w:pos="9360"/>
      </w:tabs>
    </w:pPr>
  </w:style>
  <w:style w:type="character" w:customStyle="1" w:styleId="HeaderChar">
    <w:name w:val="Header Char"/>
    <w:basedOn w:val="DefaultParagraphFont"/>
    <w:link w:val="Header"/>
    <w:uiPriority w:val="99"/>
    <w:rsid w:val="003D319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D319D"/>
    <w:pPr>
      <w:tabs>
        <w:tab w:val="center" w:pos="4680"/>
        <w:tab w:val="right" w:pos="9360"/>
      </w:tabs>
    </w:pPr>
  </w:style>
  <w:style w:type="character" w:customStyle="1" w:styleId="FooterChar">
    <w:name w:val="Footer Char"/>
    <w:basedOn w:val="DefaultParagraphFont"/>
    <w:link w:val="Footer"/>
    <w:uiPriority w:val="99"/>
    <w:rsid w:val="003D319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421</Words>
  <Characters>2403</Characters>
  <Application>Microsoft Office Word</Application>
  <DocSecurity>0</DocSecurity>
  <Lines>20</Lines>
  <Paragraphs>5</Paragraphs>
  <ScaleCrop>false</ScaleCrop>
  <Company/>
  <LinksUpToDate>false</LinksUpToDate>
  <CharactersWithSpaces>2819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2020-06-16T09:34:00Z</dcterms:created>
  <dcterms:modified xsi:type="dcterms:W3CDTF">2020-06-16T10:21:00Z</dcterms:modified>
</cp:coreProperties>
</file>