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42" w:rsidRPr="003F34A2" w:rsidRDefault="00CB4E42" w:rsidP="00CB4E42">
      <w:pPr>
        <w:spacing w:before="120" w:line="257" w:lineRule="auto"/>
        <w:jc w:val="center"/>
        <w:rPr>
          <w:rFonts w:ascii="Times New Roman" w:hAnsi="Times New Roman" w:cs="Times New Roman"/>
          <w:b/>
          <w:color w:val="auto"/>
          <w:sz w:val="30"/>
          <w:szCs w:val="26"/>
          <w:lang w:val="nl-NL"/>
        </w:rPr>
      </w:pPr>
      <w:r w:rsidRPr="003F34A2">
        <w:rPr>
          <w:rFonts w:ascii="Times New Roman" w:hAnsi="Times New Roman" w:cs="Times New Roman"/>
          <w:b/>
          <w:color w:val="auto"/>
          <w:sz w:val="30"/>
          <w:szCs w:val="26"/>
          <w:lang w:val="nl-NL"/>
        </w:rPr>
        <w:t>TỜ TRÌNH</w:t>
      </w:r>
    </w:p>
    <w:p w:rsidR="00CB4E42" w:rsidRPr="003F34A2" w:rsidRDefault="00CB4E42" w:rsidP="00CB4E42">
      <w:pPr>
        <w:spacing w:line="257" w:lineRule="auto"/>
        <w:jc w:val="center"/>
        <w:rPr>
          <w:rFonts w:ascii="Times New Roman" w:hAnsi="Times New Roman" w:cs="Times New Roman"/>
          <w:b/>
          <w:color w:val="auto"/>
          <w:sz w:val="30"/>
          <w:szCs w:val="26"/>
          <w:lang w:val="nl-NL"/>
        </w:rPr>
      </w:pPr>
      <w:r w:rsidRPr="003F34A2">
        <w:rPr>
          <w:rFonts w:ascii="Times New Roman" w:hAnsi="Times New Roman" w:cs="Times New Roman"/>
          <w:b/>
          <w:color w:val="auto"/>
          <w:sz w:val="30"/>
          <w:szCs w:val="26"/>
          <w:lang w:val="nl-NL"/>
        </w:rPr>
        <w:t>ĐẠI HỘI CỔ ĐÔNG THƯỜNG NIÊN 2020</w:t>
      </w:r>
    </w:p>
    <w:p w:rsidR="00CB4E42" w:rsidRPr="003F34A2" w:rsidRDefault="00CB4E42" w:rsidP="00CB4E42">
      <w:pPr>
        <w:autoSpaceDE w:val="0"/>
        <w:autoSpaceDN w:val="0"/>
        <w:adjustRightInd w:val="0"/>
        <w:spacing w:line="257" w:lineRule="auto"/>
        <w:jc w:val="center"/>
        <w:outlineLvl w:val="0"/>
        <w:rPr>
          <w:rFonts w:ascii="Times New Roman" w:hAnsi="Times New Roman" w:cs="Times New Roman"/>
          <w:bCs/>
          <w:i/>
          <w:color w:val="auto"/>
          <w:sz w:val="28"/>
          <w:szCs w:val="26"/>
          <w:lang w:val="nl-NL"/>
        </w:rPr>
      </w:pPr>
      <w:r w:rsidRPr="003F34A2">
        <w:rPr>
          <w:rFonts w:ascii="Times New Roman" w:hAnsi="Times New Roman" w:cs="Times New Roman"/>
          <w:bCs/>
          <w:i/>
          <w:color w:val="auto"/>
          <w:sz w:val="28"/>
          <w:szCs w:val="26"/>
          <w:lang w:val="nl-NL"/>
        </w:rPr>
        <w:t xml:space="preserve">Về các nội dung thông qua Đại hội </w:t>
      </w:r>
    </w:p>
    <w:p w:rsidR="00CB4E42" w:rsidRPr="003F34A2" w:rsidRDefault="00CB4E42" w:rsidP="00CB4E42">
      <w:pPr>
        <w:spacing w:before="120" w:line="257" w:lineRule="auto"/>
        <w:ind w:firstLine="720"/>
        <w:jc w:val="both"/>
        <w:rPr>
          <w:rFonts w:ascii="Times New Roman" w:hAnsi="Times New Roman" w:cs="Times New Roman"/>
          <w:i/>
          <w:color w:val="auto"/>
          <w:sz w:val="12"/>
          <w:szCs w:val="26"/>
          <w:lang w:val="nl-NL"/>
        </w:rPr>
      </w:pPr>
    </w:p>
    <w:p w:rsidR="00CB4E42" w:rsidRPr="003F34A2" w:rsidRDefault="00CB4E42" w:rsidP="00CB4E42">
      <w:pPr>
        <w:spacing w:before="120" w:line="257" w:lineRule="auto"/>
        <w:ind w:firstLine="720"/>
        <w:jc w:val="both"/>
        <w:rPr>
          <w:rFonts w:ascii="Times New Roman" w:hAnsi="Times New Roman" w:cs="Times New Roman"/>
          <w:i/>
          <w:color w:val="auto"/>
          <w:sz w:val="28"/>
          <w:szCs w:val="26"/>
          <w:lang w:val="nl-NL"/>
        </w:rPr>
      </w:pPr>
      <w:r w:rsidRPr="003F34A2">
        <w:rPr>
          <w:rFonts w:ascii="Times New Roman" w:hAnsi="Times New Roman" w:cs="Times New Roman"/>
          <w:i/>
          <w:color w:val="auto"/>
          <w:sz w:val="28"/>
          <w:szCs w:val="26"/>
          <w:lang w:val="nl-NL"/>
        </w:rPr>
        <w:t xml:space="preserve">Căn cứ Điều lệ tổ chức hoạt động của Công ty Cổ phần LICOGI13; Căn cứ Báo cáo được trình bày trước Đại hội, Hội đồng quản trị kính trình Đại hội đồng cổ đông quyết nghị một số nội dung cơ bản làm cơ sở triển khai thực hiện trong năm 2020, cụ thể như sau: </w:t>
      </w:r>
    </w:p>
    <w:p w:rsidR="00CB4E42" w:rsidRPr="003F34A2" w:rsidRDefault="00CB4E42" w:rsidP="00CB4E42">
      <w:pPr>
        <w:spacing w:before="120" w:line="257" w:lineRule="auto"/>
        <w:jc w:val="both"/>
        <w:rPr>
          <w:rFonts w:ascii="Times New Roman" w:hAnsi="Times New Roman" w:cs="Times New Roman"/>
          <w:color w:val="auto"/>
          <w:sz w:val="28"/>
          <w:szCs w:val="26"/>
          <w:lang w:val="nl-NL"/>
        </w:rPr>
      </w:pPr>
      <w:r w:rsidRPr="003F34A2">
        <w:rPr>
          <w:rFonts w:ascii="Times New Roman" w:hAnsi="Times New Roman" w:cs="Times New Roman"/>
          <w:color w:val="auto"/>
          <w:sz w:val="28"/>
          <w:szCs w:val="26"/>
          <w:lang w:val="it-IT"/>
        </w:rPr>
        <w:t>1. Thông qua báo cáo kết quả SXKD, Báo cáo Tài chính năm 2019 đã được kiểm toán; Phương án phân phối lợi nhuận năm 2019.</w:t>
      </w:r>
    </w:p>
    <w:p w:rsidR="00CB4E42" w:rsidRPr="003F34A2" w:rsidRDefault="00CB4E42" w:rsidP="00CB4E42">
      <w:pPr>
        <w:spacing w:before="120" w:line="257" w:lineRule="auto"/>
        <w:jc w:val="both"/>
        <w:rPr>
          <w:rFonts w:ascii="Times New Roman" w:hAnsi="Times New Roman" w:cs="Times New Roman"/>
          <w:color w:val="auto"/>
          <w:sz w:val="28"/>
          <w:szCs w:val="26"/>
          <w:lang w:val="nl-NL"/>
        </w:rPr>
      </w:pPr>
      <w:r w:rsidRPr="003F34A2">
        <w:rPr>
          <w:rFonts w:ascii="Times New Roman" w:hAnsi="Times New Roman" w:cs="Times New Roman"/>
          <w:color w:val="auto"/>
          <w:sz w:val="28"/>
          <w:szCs w:val="26"/>
          <w:lang w:val="nl-NL"/>
        </w:rPr>
        <w:t>1.1. Thông qua báo cáo tài chính hợp nhất đã được kiểm toán bởi Công ty TNHH Kiểm toán TTP, với các chỉ tiêu cụ thể như sau:</w:t>
      </w:r>
    </w:p>
    <w:tbl>
      <w:tblPr>
        <w:tblW w:w="909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3"/>
        <w:gridCol w:w="5457"/>
        <w:gridCol w:w="3070"/>
      </w:tblGrid>
      <w:tr w:rsidR="003F34A2" w:rsidRPr="003F34A2" w:rsidTr="00E522F5">
        <w:trPr>
          <w:jc w:val="center"/>
        </w:trPr>
        <w:tc>
          <w:tcPr>
            <w:tcW w:w="563" w:type="dxa"/>
            <w:tcBorders>
              <w:top w:val="single" w:sz="4" w:space="0" w:color="auto"/>
              <w:left w:val="nil"/>
              <w:bottom w:val="single" w:sz="4" w:space="0" w:color="auto"/>
              <w:right w:val="nil"/>
            </w:tcBorders>
          </w:tcPr>
          <w:p w:rsidR="00CB4E42" w:rsidRPr="003F34A2" w:rsidRDefault="00CB4E42" w:rsidP="00E522F5">
            <w:pPr>
              <w:spacing w:before="120" w:after="60" w:line="257"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TT</w:t>
            </w:r>
          </w:p>
        </w:tc>
        <w:tc>
          <w:tcPr>
            <w:tcW w:w="5457" w:type="dxa"/>
            <w:tcBorders>
              <w:top w:val="single" w:sz="4" w:space="0" w:color="auto"/>
              <w:left w:val="nil"/>
              <w:bottom w:val="single" w:sz="4" w:space="0" w:color="auto"/>
              <w:right w:val="nil"/>
            </w:tcBorders>
          </w:tcPr>
          <w:p w:rsidR="00CB4E42" w:rsidRPr="003F34A2" w:rsidRDefault="00CB4E42" w:rsidP="00E522F5">
            <w:pPr>
              <w:spacing w:before="120" w:after="60" w:line="257"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Nội dung</w:t>
            </w:r>
          </w:p>
        </w:tc>
        <w:tc>
          <w:tcPr>
            <w:tcW w:w="3070" w:type="dxa"/>
            <w:tcBorders>
              <w:top w:val="single" w:sz="4" w:space="0" w:color="auto"/>
              <w:left w:val="nil"/>
              <w:bottom w:val="single" w:sz="4" w:space="0" w:color="auto"/>
              <w:right w:val="nil"/>
            </w:tcBorders>
          </w:tcPr>
          <w:p w:rsidR="00CB4E42" w:rsidRPr="003F34A2" w:rsidRDefault="00CB4E42" w:rsidP="00E522F5">
            <w:pPr>
              <w:spacing w:before="120" w:after="60" w:line="257"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Giá trị (đồng)</w:t>
            </w:r>
          </w:p>
        </w:tc>
      </w:tr>
      <w:tr w:rsidR="003F34A2" w:rsidRPr="003F34A2" w:rsidTr="00E522F5">
        <w:trPr>
          <w:jc w:val="center"/>
        </w:trPr>
        <w:tc>
          <w:tcPr>
            <w:tcW w:w="563"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1.</w:t>
            </w:r>
          </w:p>
        </w:tc>
        <w:tc>
          <w:tcPr>
            <w:tcW w:w="5457"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Tổng tài sản</w:t>
            </w:r>
          </w:p>
        </w:tc>
        <w:tc>
          <w:tcPr>
            <w:tcW w:w="3070"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rPr>
            </w:pPr>
            <w:r w:rsidRPr="003F34A2">
              <w:rPr>
                <w:rFonts w:ascii="Times New Roman" w:eastAsia="Times New Roman" w:hAnsi="Times New Roman"/>
                <w:color w:val="auto"/>
                <w:sz w:val="28"/>
                <w:szCs w:val="26"/>
                <w:lang w:val="en-US"/>
              </w:rPr>
              <w:t>4.070.599.169.107</w:t>
            </w:r>
          </w:p>
        </w:tc>
      </w:tr>
      <w:tr w:rsidR="003F34A2" w:rsidRPr="003F34A2" w:rsidTr="00E522F5">
        <w:trPr>
          <w:jc w:val="center"/>
        </w:trPr>
        <w:tc>
          <w:tcPr>
            <w:tcW w:w="563"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2.</w:t>
            </w:r>
          </w:p>
        </w:tc>
        <w:tc>
          <w:tcPr>
            <w:tcW w:w="5457"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Nợ phải trả</w:t>
            </w:r>
          </w:p>
        </w:tc>
        <w:tc>
          <w:tcPr>
            <w:tcW w:w="3070"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rPr>
            </w:pPr>
            <w:r w:rsidRPr="003F34A2">
              <w:rPr>
                <w:rFonts w:ascii="Times New Roman" w:eastAsia="Times New Roman" w:hAnsi="Times New Roman"/>
                <w:color w:val="auto"/>
                <w:sz w:val="28"/>
                <w:szCs w:val="26"/>
                <w:lang w:val="en-US"/>
              </w:rPr>
              <w:t>3.490.642.992.999</w:t>
            </w:r>
          </w:p>
        </w:tc>
      </w:tr>
      <w:tr w:rsidR="003F34A2" w:rsidRPr="003F34A2" w:rsidTr="00E522F5">
        <w:trPr>
          <w:jc w:val="center"/>
        </w:trPr>
        <w:tc>
          <w:tcPr>
            <w:tcW w:w="563"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3.</w:t>
            </w:r>
          </w:p>
        </w:tc>
        <w:tc>
          <w:tcPr>
            <w:tcW w:w="5457"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Vốn chủ sở hữu:</w:t>
            </w:r>
          </w:p>
        </w:tc>
        <w:tc>
          <w:tcPr>
            <w:tcW w:w="3070"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rPr>
            </w:pPr>
            <w:r w:rsidRPr="003F34A2">
              <w:rPr>
                <w:rFonts w:ascii="Times New Roman" w:eastAsia="Times New Roman" w:hAnsi="Times New Roman"/>
                <w:color w:val="auto"/>
                <w:sz w:val="28"/>
                <w:szCs w:val="26"/>
                <w:lang w:val="en-US"/>
              </w:rPr>
              <w:t>579.956.176.108</w:t>
            </w:r>
          </w:p>
        </w:tc>
      </w:tr>
      <w:tr w:rsidR="003F34A2" w:rsidRPr="003F34A2" w:rsidTr="00E522F5">
        <w:trPr>
          <w:jc w:val="center"/>
        </w:trPr>
        <w:tc>
          <w:tcPr>
            <w:tcW w:w="563"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4.</w:t>
            </w:r>
          </w:p>
        </w:tc>
        <w:tc>
          <w:tcPr>
            <w:tcW w:w="5457"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Tổng doanh thu</w:t>
            </w:r>
          </w:p>
        </w:tc>
        <w:tc>
          <w:tcPr>
            <w:tcW w:w="3070"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2.228.795.106.735</w:t>
            </w:r>
          </w:p>
        </w:tc>
      </w:tr>
      <w:tr w:rsidR="003F34A2" w:rsidRPr="003F34A2" w:rsidTr="00E522F5">
        <w:trPr>
          <w:jc w:val="center"/>
        </w:trPr>
        <w:tc>
          <w:tcPr>
            <w:tcW w:w="563"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5.</w:t>
            </w:r>
          </w:p>
        </w:tc>
        <w:tc>
          <w:tcPr>
            <w:tcW w:w="5457"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Lợi nhuận trước thuế hợp nhất</w:t>
            </w:r>
          </w:p>
        </w:tc>
        <w:tc>
          <w:tcPr>
            <w:tcW w:w="3070"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31.887.407.165</w:t>
            </w:r>
          </w:p>
        </w:tc>
      </w:tr>
      <w:tr w:rsidR="003F34A2" w:rsidRPr="003F34A2" w:rsidTr="00E522F5">
        <w:trPr>
          <w:jc w:val="center"/>
        </w:trPr>
        <w:tc>
          <w:tcPr>
            <w:tcW w:w="563"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6.</w:t>
            </w:r>
          </w:p>
        </w:tc>
        <w:tc>
          <w:tcPr>
            <w:tcW w:w="5457"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Lợi nhuận sau thuế hợp nhất</w:t>
            </w:r>
          </w:p>
        </w:tc>
        <w:tc>
          <w:tcPr>
            <w:tcW w:w="3070"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22.951.210.620</w:t>
            </w:r>
          </w:p>
        </w:tc>
      </w:tr>
      <w:tr w:rsidR="003F34A2" w:rsidRPr="003F34A2" w:rsidTr="00E522F5">
        <w:trPr>
          <w:jc w:val="center"/>
        </w:trPr>
        <w:tc>
          <w:tcPr>
            <w:tcW w:w="563"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p>
        </w:tc>
        <w:tc>
          <w:tcPr>
            <w:tcW w:w="5457"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 xml:space="preserve">Lợi nhuận sau thuế của </w:t>
            </w:r>
            <w:r w:rsidRPr="003F34A2">
              <w:rPr>
                <w:rFonts w:ascii="Times New Roman" w:hAnsi="Times New Roman" w:cs="Times New Roman"/>
                <w:color w:val="auto"/>
                <w:sz w:val="28"/>
                <w:szCs w:val="26"/>
                <w:lang w:val="en-US"/>
              </w:rPr>
              <w:t>CĐ</w:t>
            </w:r>
            <w:r w:rsidRPr="003F34A2">
              <w:rPr>
                <w:rFonts w:ascii="Times New Roman" w:hAnsi="Times New Roman" w:cs="Times New Roman"/>
                <w:color w:val="auto"/>
                <w:sz w:val="28"/>
                <w:szCs w:val="26"/>
              </w:rPr>
              <w:t xml:space="preserve"> không kiểm </w:t>
            </w:r>
            <w:r w:rsidRPr="003F34A2">
              <w:rPr>
                <w:rFonts w:ascii="Times New Roman" w:hAnsi="Times New Roman" w:cs="Times New Roman"/>
                <w:color w:val="auto"/>
                <w:sz w:val="28"/>
                <w:szCs w:val="26"/>
                <w:lang w:val="en-US"/>
              </w:rPr>
              <w:t>s</w:t>
            </w:r>
            <w:r w:rsidRPr="003F34A2">
              <w:rPr>
                <w:rFonts w:ascii="Times New Roman" w:hAnsi="Times New Roman" w:cs="Times New Roman"/>
                <w:color w:val="auto"/>
                <w:sz w:val="28"/>
                <w:szCs w:val="26"/>
              </w:rPr>
              <w:t>oát</w:t>
            </w:r>
          </w:p>
        </w:tc>
        <w:tc>
          <w:tcPr>
            <w:tcW w:w="3070"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6.066.071.553</w:t>
            </w:r>
          </w:p>
        </w:tc>
      </w:tr>
      <w:tr w:rsidR="003F34A2" w:rsidRPr="003F34A2" w:rsidTr="00E522F5">
        <w:trPr>
          <w:jc w:val="center"/>
        </w:trPr>
        <w:tc>
          <w:tcPr>
            <w:tcW w:w="563"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p>
        </w:tc>
        <w:tc>
          <w:tcPr>
            <w:tcW w:w="5457"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 xml:space="preserve">Lợi nhuận sau thuế của </w:t>
            </w:r>
            <w:r w:rsidRPr="003F34A2">
              <w:rPr>
                <w:rFonts w:ascii="Times New Roman" w:hAnsi="Times New Roman" w:cs="Times New Roman"/>
                <w:color w:val="auto"/>
                <w:sz w:val="28"/>
                <w:szCs w:val="26"/>
                <w:lang w:val="en-US"/>
              </w:rPr>
              <w:t>CĐ</w:t>
            </w:r>
            <w:r w:rsidRPr="003F34A2">
              <w:rPr>
                <w:rFonts w:ascii="Times New Roman" w:hAnsi="Times New Roman" w:cs="Times New Roman"/>
                <w:color w:val="auto"/>
                <w:sz w:val="28"/>
                <w:szCs w:val="26"/>
              </w:rPr>
              <w:t xml:space="preserve"> Công ty mẹ</w:t>
            </w:r>
          </w:p>
        </w:tc>
        <w:tc>
          <w:tcPr>
            <w:tcW w:w="3070"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16.885.139.067</w:t>
            </w:r>
          </w:p>
        </w:tc>
      </w:tr>
    </w:tbl>
    <w:p w:rsidR="00CB4E42" w:rsidRPr="003F34A2" w:rsidRDefault="00CB4E42" w:rsidP="00CB4E42">
      <w:pPr>
        <w:spacing w:before="60" w:after="60" w:line="252" w:lineRule="auto"/>
        <w:jc w:val="both"/>
        <w:rPr>
          <w:rFonts w:ascii="Times New Roman" w:hAnsi="Times New Roman" w:cs="Times New Roman"/>
          <w:color w:val="auto"/>
          <w:sz w:val="12"/>
          <w:szCs w:val="26"/>
        </w:rPr>
      </w:pPr>
    </w:p>
    <w:p w:rsidR="00CB4E42" w:rsidRPr="003F34A2" w:rsidRDefault="00CB4E42" w:rsidP="00CB4E42">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1.2. Thông qua phương án phân phối lợi nhuận năm 201</w:t>
      </w:r>
      <w:r w:rsidRPr="003F34A2">
        <w:rPr>
          <w:rFonts w:ascii="Times New Roman" w:hAnsi="Times New Roman" w:cs="Times New Roman"/>
          <w:color w:val="auto"/>
          <w:sz w:val="28"/>
          <w:szCs w:val="26"/>
          <w:lang w:val="en-US"/>
        </w:rPr>
        <w:t>9</w:t>
      </w:r>
      <w:r w:rsidRPr="003F34A2">
        <w:rPr>
          <w:rFonts w:ascii="Times New Roman" w:hAnsi="Times New Roman" w:cs="Times New Roman"/>
          <w:color w:val="auto"/>
          <w:sz w:val="28"/>
          <w:szCs w:val="26"/>
        </w:rPr>
        <w:t xml:space="preserve"> (Công ty Mẹ):</w:t>
      </w:r>
    </w:p>
    <w:tbl>
      <w:tblPr>
        <w:tblW w:w="900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2"/>
        <w:gridCol w:w="5806"/>
        <w:gridCol w:w="2382"/>
      </w:tblGrid>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TT</w:t>
            </w: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Nội dung</w:t>
            </w:r>
          </w:p>
        </w:tc>
        <w:tc>
          <w:tcPr>
            <w:tcW w:w="238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Giá trị (đồng)</w:t>
            </w: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A</w:t>
            </w: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Lợi nhuận</w:t>
            </w:r>
          </w:p>
        </w:tc>
        <w:tc>
          <w:tcPr>
            <w:tcW w:w="238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rPr>
            </w:pP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pStyle w:val="ListParagraph"/>
              <w:numPr>
                <w:ilvl w:val="0"/>
                <w:numId w:val="1"/>
              </w:numPr>
              <w:spacing w:before="60" w:after="60" w:line="252" w:lineRule="auto"/>
              <w:jc w:val="center"/>
              <w:rPr>
                <w:rFonts w:ascii="Times New Roman" w:hAnsi="Times New Roman" w:cs="Times New Roman"/>
                <w:color w:val="auto"/>
                <w:sz w:val="28"/>
                <w:szCs w:val="26"/>
                <w:lang w:val="en-US"/>
              </w:rPr>
            </w:pP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Lợi nhuận còn lại sau phân phối cổ tức năm 2018</w:t>
            </w:r>
          </w:p>
        </w:tc>
        <w:tc>
          <w:tcPr>
            <w:tcW w:w="238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rPr>
            </w:pPr>
            <w:r w:rsidRPr="003F34A2">
              <w:rPr>
                <w:rFonts w:ascii="Times New Roman" w:hAnsi="Times New Roman" w:cs="Times New Roman"/>
                <w:color w:val="auto"/>
                <w:sz w:val="28"/>
                <w:szCs w:val="26"/>
                <w:lang w:val="en-US"/>
              </w:rPr>
              <w:t>2.859.052.030</w:t>
            </w: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pStyle w:val="ListParagraph"/>
              <w:numPr>
                <w:ilvl w:val="0"/>
                <w:numId w:val="1"/>
              </w:numPr>
              <w:spacing w:before="60" w:after="60" w:line="252" w:lineRule="auto"/>
              <w:jc w:val="center"/>
              <w:rPr>
                <w:rFonts w:ascii="Times New Roman" w:hAnsi="Times New Roman" w:cs="Times New Roman"/>
                <w:color w:val="auto"/>
                <w:sz w:val="28"/>
                <w:szCs w:val="26"/>
                <w:lang w:val="en-US"/>
              </w:rPr>
            </w:pP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lang w:val="en-US"/>
              </w:rPr>
            </w:pPr>
            <w:r w:rsidRPr="003F34A2">
              <w:rPr>
                <w:rFonts w:ascii="Times New Roman" w:hAnsi="Times New Roman" w:cs="Times New Roman"/>
                <w:color w:val="auto"/>
                <w:sz w:val="28"/>
                <w:szCs w:val="26"/>
              </w:rPr>
              <w:t>Lợi nhuận sau thuế Công ty Mẹ</w:t>
            </w:r>
            <w:r w:rsidRPr="003F34A2">
              <w:rPr>
                <w:rFonts w:ascii="Times New Roman" w:hAnsi="Times New Roman" w:cs="Times New Roman"/>
                <w:color w:val="auto"/>
                <w:sz w:val="28"/>
                <w:szCs w:val="26"/>
                <w:lang w:val="en-US"/>
              </w:rPr>
              <w:t xml:space="preserve"> năm 2019</w:t>
            </w:r>
          </w:p>
        </w:tc>
        <w:tc>
          <w:tcPr>
            <w:tcW w:w="238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12.930.774.590</w:t>
            </w: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pStyle w:val="ListParagraph"/>
              <w:spacing w:before="60" w:after="60" w:line="252" w:lineRule="auto"/>
              <w:rPr>
                <w:rFonts w:ascii="Times New Roman" w:hAnsi="Times New Roman" w:cs="Times New Roman"/>
                <w:color w:val="auto"/>
                <w:sz w:val="28"/>
                <w:szCs w:val="26"/>
                <w:lang w:val="en-US"/>
              </w:rPr>
            </w:pP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 xml:space="preserve">Trong đó: </w:t>
            </w:r>
            <w:r w:rsidRPr="003F34A2">
              <w:rPr>
                <w:rFonts w:ascii="Times New Roman" w:hAnsi="Times New Roman" w:cs="Times New Roman"/>
                <w:color w:val="auto"/>
                <w:sz w:val="28"/>
                <w:szCs w:val="26"/>
              </w:rPr>
              <w:t>Lợi nhuận trước thuế Công ty Mẹ</w:t>
            </w:r>
            <w:r w:rsidRPr="003F34A2">
              <w:rPr>
                <w:rFonts w:ascii="Times New Roman" w:hAnsi="Times New Roman" w:cs="Times New Roman"/>
                <w:color w:val="auto"/>
                <w:sz w:val="28"/>
                <w:szCs w:val="26"/>
                <w:lang w:val="en-US"/>
              </w:rPr>
              <w:t xml:space="preserve"> năm 2019</w:t>
            </w:r>
          </w:p>
        </w:tc>
        <w:tc>
          <w:tcPr>
            <w:tcW w:w="238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17.240.395.237</w:t>
            </w: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pStyle w:val="ListParagraph"/>
              <w:spacing w:before="60" w:after="60" w:line="252" w:lineRule="auto"/>
              <w:rPr>
                <w:rFonts w:ascii="Times New Roman" w:hAnsi="Times New Roman" w:cs="Times New Roman"/>
                <w:color w:val="auto"/>
                <w:sz w:val="28"/>
                <w:szCs w:val="26"/>
                <w:lang w:val="en-US"/>
              </w:rPr>
            </w:pP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 xml:space="preserve">                 </w:t>
            </w:r>
            <w:r w:rsidRPr="003F34A2">
              <w:rPr>
                <w:rFonts w:ascii="Times New Roman" w:hAnsi="Times New Roman" w:cs="Times New Roman"/>
                <w:color w:val="auto"/>
                <w:sz w:val="28"/>
                <w:szCs w:val="26"/>
              </w:rPr>
              <w:t>Thuế TNDN</w:t>
            </w:r>
          </w:p>
        </w:tc>
        <w:tc>
          <w:tcPr>
            <w:tcW w:w="238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4.309.620.647</w:t>
            </w: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pStyle w:val="ListParagraph"/>
              <w:numPr>
                <w:ilvl w:val="0"/>
                <w:numId w:val="1"/>
              </w:numPr>
              <w:spacing w:before="60" w:after="60" w:line="252" w:lineRule="auto"/>
              <w:jc w:val="center"/>
              <w:rPr>
                <w:rFonts w:ascii="Times New Roman" w:hAnsi="Times New Roman" w:cs="Times New Roman"/>
                <w:color w:val="auto"/>
                <w:sz w:val="28"/>
                <w:szCs w:val="26"/>
              </w:rPr>
            </w:pP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Các khoản giảm trừ (thanh tra thuế 2018 theo NĐ 20)</w:t>
            </w:r>
          </w:p>
        </w:tc>
        <w:tc>
          <w:tcPr>
            <w:tcW w:w="238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3.867.749.099</w:t>
            </w: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pStyle w:val="ListParagraph"/>
              <w:numPr>
                <w:ilvl w:val="0"/>
                <w:numId w:val="1"/>
              </w:numPr>
              <w:spacing w:before="60" w:after="60" w:line="252" w:lineRule="auto"/>
              <w:jc w:val="center"/>
              <w:rPr>
                <w:rFonts w:ascii="Times New Roman" w:hAnsi="Times New Roman" w:cs="Times New Roman"/>
                <w:color w:val="auto"/>
                <w:sz w:val="28"/>
                <w:szCs w:val="26"/>
              </w:rPr>
            </w:pP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Lợi nhuận còn lại (4=1+2-3)</w:t>
            </w:r>
          </w:p>
        </w:tc>
        <w:tc>
          <w:tcPr>
            <w:tcW w:w="238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11.922.077.521</w:t>
            </w: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B.</w:t>
            </w: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Phân phối lợi nhuận sau thuế</w:t>
            </w:r>
          </w:p>
        </w:tc>
        <w:tc>
          <w:tcPr>
            <w:tcW w:w="238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rPr>
            </w:pP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lastRenderedPageBreak/>
              <w:t>1.</w:t>
            </w: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Trích lập các quỹ:</w:t>
            </w:r>
          </w:p>
        </w:tc>
        <w:tc>
          <w:tcPr>
            <w:tcW w:w="238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rPr>
            </w:pPr>
            <w:r w:rsidRPr="003F34A2">
              <w:rPr>
                <w:rFonts w:ascii="Times New Roman" w:hAnsi="Times New Roman" w:cs="Times New Roman"/>
                <w:color w:val="auto"/>
                <w:sz w:val="28"/>
                <w:szCs w:val="26"/>
                <w:lang w:val="en-US"/>
              </w:rPr>
              <w:t>1.293.077.459</w:t>
            </w: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i/>
                <w:color w:val="auto"/>
                <w:sz w:val="28"/>
                <w:szCs w:val="26"/>
              </w:rPr>
            </w:pP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i/>
                <w:color w:val="auto"/>
                <w:sz w:val="28"/>
                <w:szCs w:val="26"/>
              </w:rPr>
            </w:pPr>
            <w:r w:rsidRPr="003F34A2">
              <w:rPr>
                <w:rFonts w:ascii="Times New Roman" w:hAnsi="Times New Roman" w:cs="Times New Roman"/>
                <w:i/>
                <w:color w:val="auto"/>
                <w:sz w:val="28"/>
                <w:szCs w:val="26"/>
              </w:rPr>
              <w:t>- Quỹ Đầu tư phát triển 5%</w:t>
            </w:r>
          </w:p>
        </w:tc>
        <w:tc>
          <w:tcPr>
            <w:tcW w:w="2382" w:type="dxa"/>
            <w:tcBorders>
              <w:top w:val="single" w:sz="4" w:space="0" w:color="auto"/>
              <w:left w:val="nil"/>
              <w:bottom w:val="single" w:sz="4" w:space="0" w:color="auto"/>
              <w:right w:val="nil"/>
            </w:tcBorders>
          </w:tcPr>
          <w:p w:rsidR="00CB4E42" w:rsidRPr="003F34A2" w:rsidRDefault="00CB4E42" w:rsidP="00E522F5">
            <w:pPr>
              <w:spacing w:before="80" w:after="80"/>
              <w:jc w:val="right"/>
              <w:rPr>
                <w:rFonts w:ascii="Times New Roman" w:hAnsi="Times New Roman" w:cs="Times New Roman"/>
                <w:i/>
                <w:color w:val="auto"/>
                <w:sz w:val="28"/>
                <w:szCs w:val="26"/>
                <w:lang w:val="en-US"/>
              </w:rPr>
            </w:pPr>
            <w:r w:rsidRPr="003F34A2">
              <w:rPr>
                <w:rFonts w:ascii="Times New Roman" w:hAnsi="Times New Roman" w:cs="Times New Roman"/>
                <w:i/>
                <w:color w:val="auto"/>
                <w:sz w:val="28"/>
                <w:szCs w:val="26"/>
                <w:lang w:val="en-US"/>
              </w:rPr>
              <w:t>646.538.730</w:t>
            </w: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i/>
                <w:color w:val="auto"/>
                <w:sz w:val="28"/>
                <w:szCs w:val="26"/>
              </w:rPr>
            </w:pP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i/>
                <w:color w:val="auto"/>
                <w:sz w:val="28"/>
                <w:szCs w:val="26"/>
              </w:rPr>
            </w:pPr>
            <w:r w:rsidRPr="003F34A2">
              <w:rPr>
                <w:rFonts w:ascii="Times New Roman" w:hAnsi="Times New Roman" w:cs="Times New Roman"/>
                <w:i/>
                <w:color w:val="auto"/>
                <w:sz w:val="28"/>
                <w:szCs w:val="26"/>
              </w:rPr>
              <w:t xml:space="preserve">- Quỹ phúc lợi khen thưởng 5% </w:t>
            </w:r>
          </w:p>
        </w:tc>
        <w:tc>
          <w:tcPr>
            <w:tcW w:w="2382" w:type="dxa"/>
            <w:tcBorders>
              <w:top w:val="single" w:sz="4" w:space="0" w:color="auto"/>
              <w:left w:val="nil"/>
              <w:bottom w:val="single" w:sz="4" w:space="0" w:color="auto"/>
              <w:right w:val="nil"/>
            </w:tcBorders>
          </w:tcPr>
          <w:p w:rsidR="00CB4E42" w:rsidRPr="003F34A2" w:rsidRDefault="00CB4E42" w:rsidP="00E522F5">
            <w:pPr>
              <w:spacing w:before="80" w:after="80"/>
              <w:jc w:val="right"/>
              <w:rPr>
                <w:rFonts w:ascii="Times New Roman" w:hAnsi="Times New Roman" w:cs="Times New Roman"/>
                <w:i/>
                <w:color w:val="auto"/>
                <w:sz w:val="28"/>
                <w:szCs w:val="26"/>
                <w:lang w:val="en-US"/>
              </w:rPr>
            </w:pPr>
            <w:r w:rsidRPr="003F34A2">
              <w:rPr>
                <w:rFonts w:ascii="Times New Roman" w:hAnsi="Times New Roman" w:cs="Times New Roman"/>
                <w:i/>
                <w:color w:val="auto"/>
                <w:sz w:val="28"/>
                <w:szCs w:val="26"/>
                <w:lang w:val="en-US"/>
              </w:rPr>
              <w:t>646.538.730</w:t>
            </w:r>
          </w:p>
        </w:tc>
      </w:tr>
      <w:tr w:rsidR="003F34A2" w:rsidRPr="003F34A2" w:rsidTr="00E522F5">
        <w:trPr>
          <w:jc w:val="center"/>
        </w:trPr>
        <w:tc>
          <w:tcPr>
            <w:tcW w:w="81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center"/>
              <w:rPr>
                <w:rFonts w:ascii="Times New Roman" w:hAnsi="Times New Roman" w:cs="Times New Roman"/>
                <w:bCs/>
                <w:iCs/>
                <w:color w:val="auto"/>
                <w:sz w:val="28"/>
                <w:szCs w:val="26"/>
              </w:rPr>
            </w:pPr>
            <w:r w:rsidRPr="003F34A2">
              <w:rPr>
                <w:rFonts w:ascii="Times New Roman" w:hAnsi="Times New Roman" w:cs="Times New Roman"/>
                <w:bCs/>
                <w:iCs/>
                <w:color w:val="auto"/>
                <w:sz w:val="28"/>
                <w:szCs w:val="26"/>
              </w:rPr>
              <w:t>C</w:t>
            </w:r>
          </w:p>
        </w:tc>
        <w:tc>
          <w:tcPr>
            <w:tcW w:w="5806"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both"/>
              <w:rPr>
                <w:rFonts w:ascii="Times New Roman" w:hAnsi="Times New Roman" w:cs="Times New Roman"/>
                <w:bCs/>
                <w:iCs/>
                <w:color w:val="auto"/>
                <w:sz w:val="28"/>
                <w:szCs w:val="26"/>
              </w:rPr>
            </w:pPr>
            <w:r w:rsidRPr="003F34A2">
              <w:rPr>
                <w:rFonts w:ascii="Times New Roman" w:hAnsi="Times New Roman" w:cs="Times New Roman"/>
                <w:bCs/>
                <w:iCs/>
                <w:color w:val="auto"/>
                <w:sz w:val="28"/>
                <w:szCs w:val="26"/>
              </w:rPr>
              <w:t>Lợi nhuận còn lại</w:t>
            </w:r>
            <w:r w:rsidRPr="003F34A2">
              <w:rPr>
                <w:rFonts w:ascii="Times New Roman" w:hAnsi="Times New Roman" w:cs="Times New Roman"/>
                <w:bCs/>
                <w:iCs/>
                <w:color w:val="auto"/>
                <w:sz w:val="28"/>
                <w:szCs w:val="26"/>
                <w:lang w:val="en-US"/>
              </w:rPr>
              <w:t xml:space="preserve"> năm 2019 sau phân phối</w:t>
            </w:r>
            <w:r w:rsidRPr="003F34A2">
              <w:rPr>
                <w:rFonts w:ascii="Times New Roman" w:hAnsi="Times New Roman" w:cs="Times New Roman"/>
                <w:bCs/>
                <w:iCs/>
                <w:color w:val="auto"/>
                <w:sz w:val="28"/>
                <w:szCs w:val="26"/>
              </w:rPr>
              <w:t>:</w:t>
            </w:r>
          </w:p>
        </w:tc>
        <w:tc>
          <w:tcPr>
            <w:tcW w:w="2382" w:type="dxa"/>
            <w:tcBorders>
              <w:top w:val="single" w:sz="4" w:space="0" w:color="auto"/>
              <w:left w:val="nil"/>
              <w:bottom w:val="single" w:sz="4" w:space="0" w:color="auto"/>
              <w:right w:val="nil"/>
            </w:tcBorders>
          </w:tcPr>
          <w:p w:rsidR="00CB4E42" w:rsidRPr="003F34A2" w:rsidRDefault="00CB4E42" w:rsidP="00E522F5">
            <w:pPr>
              <w:spacing w:before="60" w:after="60" w:line="252" w:lineRule="auto"/>
              <w:jc w:val="right"/>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10.629.000.062</w:t>
            </w:r>
          </w:p>
        </w:tc>
      </w:tr>
    </w:tbl>
    <w:p w:rsidR="00CB4E42" w:rsidRPr="003F34A2" w:rsidRDefault="00CB4E42" w:rsidP="00CB4E42">
      <w:pPr>
        <w:spacing w:before="60" w:after="60" w:line="252" w:lineRule="auto"/>
        <w:jc w:val="both"/>
        <w:rPr>
          <w:rFonts w:ascii="Times New Roman" w:hAnsi="Times New Roman" w:cs="Times New Roman"/>
          <w:color w:val="auto"/>
          <w:sz w:val="28"/>
          <w:szCs w:val="26"/>
        </w:rPr>
      </w:pPr>
    </w:p>
    <w:p w:rsidR="00CB4E42" w:rsidRPr="003F34A2" w:rsidRDefault="00CB4E42" w:rsidP="00CB4E42">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2. Thông qua kế hoạch SXKD năm 20</w:t>
      </w:r>
      <w:r w:rsidRPr="003F34A2">
        <w:rPr>
          <w:rFonts w:ascii="Times New Roman" w:hAnsi="Times New Roman" w:cs="Times New Roman"/>
          <w:color w:val="auto"/>
          <w:sz w:val="28"/>
          <w:szCs w:val="26"/>
          <w:lang w:val="en-US"/>
        </w:rPr>
        <w:t>20</w:t>
      </w:r>
      <w:r w:rsidRPr="003F34A2">
        <w:rPr>
          <w:rFonts w:ascii="Times New Roman" w:hAnsi="Times New Roman" w:cs="Times New Roman"/>
          <w:color w:val="auto"/>
          <w:sz w:val="28"/>
          <w:szCs w:val="26"/>
        </w:rPr>
        <w:t xml:space="preserve"> với các chỉ tiêu cơ bản như sau:</w:t>
      </w:r>
    </w:p>
    <w:p w:rsidR="00CB4E42" w:rsidRPr="003F34A2" w:rsidRDefault="00CB4E42" w:rsidP="00CB4E42">
      <w:pPr>
        <w:tabs>
          <w:tab w:val="right" w:pos="7740"/>
        </w:tabs>
        <w:spacing w:before="120" w:after="120" w:line="257" w:lineRule="auto"/>
        <w:ind w:firstLine="720"/>
        <w:jc w:val="both"/>
        <w:rPr>
          <w:rFonts w:ascii="Times New Roman" w:hAnsi="Times New Roman" w:cs="Times New Roman"/>
          <w:iCs/>
          <w:color w:val="auto"/>
          <w:sz w:val="28"/>
          <w:szCs w:val="26"/>
        </w:rPr>
      </w:pPr>
      <w:r w:rsidRPr="003F34A2">
        <w:rPr>
          <w:rFonts w:ascii="Times New Roman" w:hAnsi="Times New Roman" w:cs="Times New Roman"/>
          <w:iCs/>
          <w:color w:val="auto"/>
          <w:sz w:val="28"/>
          <w:szCs w:val="26"/>
        </w:rPr>
        <w:t xml:space="preserve">- Doanh thu:                                               </w:t>
      </w:r>
      <w:r w:rsidRPr="003F34A2">
        <w:rPr>
          <w:rFonts w:ascii="Times New Roman" w:hAnsi="Times New Roman" w:cs="Times New Roman"/>
          <w:iCs/>
          <w:color w:val="auto"/>
          <w:sz w:val="28"/>
          <w:szCs w:val="26"/>
        </w:rPr>
        <w:tab/>
      </w:r>
      <w:r w:rsidRPr="003F34A2">
        <w:rPr>
          <w:rFonts w:ascii="Times New Roman" w:hAnsi="Times New Roman" w:cs="Times New Roman"/>
          <w:iCs/>
          <w:color w:val="auto"/>
          <w:sz w:val="28"/>
          <w:szCs w:val="26"/>
          <w:lang w:val="en-US"/>
        </w:rPr>
        <w:t xml:space="preserve">2.030.000 triệu </w:t>
      </w:r>
      <w:r w:rsidRPr="003F34A2">
        <w:rPr>
          <w:rFonts w:ascii="Times New Roman" w:hAnsi="Times New Roman" w:cs="Times New Roman"/>
          <w:iCs/>
          <w:color w:val="auto"/>
          <w:sz w:val="28"/>
          <w:szCs w:val="26"/>
        </w:rPr>
        <w:t>đồng;</w:t>
      </w:r>
    </w:p>
    <w:p w:rsidR="00CB4E42" w:rsidRPr="003F34A2" w:rsidRDefault="00CB4E42" w:rsidP="00CB4E42">
      <w:pPr>
        <w:tabs>
          <w:tab w:val="right" w:pos="7740"/>
        </w:tabs>
        <w:spacing w:before="120" w:after="120" w:line="257" w:lineRule="auto"/>
        <w:ind w:firstLine="720"/>
        <w:jc w:val="both"/>
        <w:rPr>
          <w:rFonts w:ascii="Times New Roman" w:hAnsi="Times New Roman" w:cs="Times New Roman"/>
          <w:iCs/>
          <w:color w:val="auto"/>
          <w:sz w:val="28"/>
          <w:szCs w:val="26"/>
        </w:rPr>
      </w:pPr>
      <w:r w:rsidRPr="003F34A2">
        <w:rPr>
          <w:rFonts w:ascii="Times New Roman" w:hAnsi="Times New Roman" w:cs="Times New Roman"/>
          <w:iCs/>
          <w:color w:val="auto"/>
          <w:sz w:val="28"/>
          <w:szCs w:val="26"/>
        </w:rPr>
        <w:t xml:space="preserve">- Lợi nhuận </w:t>
      </w:r>
      <w:r w:rsidR="003F34A2">
        <w:rPr>
          <w:rFonts w:ascii="Times New Roman" w:hAnsi="Times New Roman" w:cs="Times New Roman"/>
          <w:iCs/>
          <w:color w:val="auto"/>
          <w:sz w:val="28"/>
          <w:szCs w:val="26"/>
          <w:lang w:val="en-US"/>
        </w:rPr>
        <w:t>sau</w:t>
      </w:r>
      <w:bookmarkStart w:id="0" w:name="_GoBack"/>
      <w:bookmarkEnd w:id="0"/>
      <w:r w:rsidRPr="003F34A2">
        <w:rPr>
          <w:rFonts w:ascii="Times New Roman" w:hAnsi="Times New Roman" w:cs="Times New Roman"/>
          <w:iCs/>
          <w:color w:val="auto"/>
          <w:sz w:val="28"/>
          <w:szCs w:val="26"/>
        </w:rPr>
        <w:t xml:space="preserve"> thuế hợp nhất: </w:t>
      </w:r>
      <w:r w:rsidRPr="003F34A2">
        <w:rPr>
          <w:rFonts w:ascii="Times New Roman" w:hAnsi="Times New Roman" w:cs="Times New Roman"/>
          <w:iCs/>
          <w:color w:val="auto"/>
          <w:sz w:val="28"/>
          <w:szCs w:val="26"/>
        </w:rPr>
        <w:tab/>
      </w:r>
      <w:r w:rsidRPr="003F34A2">
        <w:rPr>
          <w:rFonts w:ascii="Times New Roman" w:hAnsi="Times New Roman" w:cs="Times New Roman"/>
          <w:iCs/>
          <w:color w:val="auto"/>
          <w:sz w:val="28"/>
          <w:szCs w:val="26"/>
          <w:lang w:val="en-US"/>
        </w:rPr>
        <w:t xml:space="preserve">58.760 triệu </w:t>
      </w:r>
      <w:r w:rsidRPr="003F34A2">
        <w:rPr>
          <w:rFonts w:ascii="Times New Roman" w:hAnsi="Times New Roman" w:cs="Times New Roman"/>
          <w:iCs/>
          <w:color w:val="auto"/>
          <w:sz w:val="28"/>
          <w:szCs w:val="26"/>
        </w:rPr>
        <w:t>đồng;</w:t>
      </w:r>
    </w:p>
    <w:p w:rsidR="00CB4E42" w:rsidRPr="003F34A2" w:rsidRDefault="00CB4E42" w:rsidP="00CB4E42">
      <w:pPr>
        <w:tabs>
          <w:tab w:val="right" w:pos="7740"/>
        </w:tabs>
        <w:spacing w:before="120" w:after="120" w:line="257" w:lineRule="auto"/>
        <w:ind w:firstLine="720"/>
        <w:jc w:val="both"/>
        <w:rPr>
          <w:rFonts w:ascii="Times New Roman" w:hAnsi="Times New Roman" w:cs="Times New Roman"/>
          <w:iCs/>
          <w:color w:val="auto"/>
          <w:sz w:val="28"/>
          <w:szCs w:val="26"/>
          <w:lang w:val="en-US"/>
        </w:rPr>
      </w:pPr>
      <w:r w:rsidRPr="003F34A2">
        <w:rPr>
          <w:rFonts w:ascii="Times New Roman" w:hAnsi="Times New Roman" w:cs="Times New Roman"/>
          <w:iCs/>
          <w:color w:val="auto"/>
          <w:sz w:val="28"/>
          <w:szCs w:val="26"/>
          <w:lang w:val="en-US"/>
        </w:rPr>
        <w:t>- Giá trị đầu tư:</w:t>
      </w:r>
      <w:r w:rsidRPr="003F34A2">
        <w:rPr>
          <w:rFonts w:ascii="Times New Roman" w:hAnsi="Times New Roman" w:cs="Times New Roman"/>
          <w:iCs/>
          <w:color w:val="auto"/>
          <w:sz w:val="28"/>
          <w:szCs w:val="26"/>
          <w:lang w:val="en-US"/>
        </w:rPr>
        <w:tab/>
        <w:t>1.061.000 triệu đồng</w:t>
      </w:r>
      <w:r w:rsidRPr="003F34A2">
        <w:rPr>
          <w:rFonts w:ascii="Times New Roman" w:hAnsi="Times New Roman" w:cs="Times New Roman"/>
          <w:iCs/>
          <w:color w:val="auto"/>
          <w:sz w:val="28"/>
          <w:szCs w:val="26"/>
          <w:lang w:val="en-US"/>
        </w:rPr>
        <w:tab/>
      </w:r>
    </w:p>
    <w:p w:rsidR="00CB4E42" w:rsidRPr="003F34A2" w:rsidRDefault="00CB4E42" w:rsidP="00CB4E42">
      <w:pPr>
        <w:tabs>
          <w:tab w:val="right" w:pos="7740"/>
        </w:tabs>
        <w:spacing w:before="120" w:after="120" w:line="257" w:lineRule="auto"/>
        <w:ind w:firstLine="720"/>
        <w:jc w:val="both"/>
        <w:rPr>
          <w:rFonts w:ascii="Times New Roman" w:hAnsi="Times New Roman" w:cs="Times New Roman"/>
          <w:iCs/>
          <w:color w:val="auto"/>
          <w:sz w:val="28"/>
          <w:szCs w:val="26"/>
        </w:rPr>
      </w:pPr>
      <w:r w:rsidRPr="003F34A2">
        <w:rPr>
          <w:rFonts w:ascii="Times New Roman" w:hAnsi="Times New Roman" w:cs="Times New Roman"/>
          <w:iCs/>
          <w:color w:val="auto"/>
          <w:sz w:val="28"/>
          <w:szCs w:val="26"/>
        </w:rPr>
        <w:t xml:space="preserve">ĐHĐCĐ giao HĐQT chỉ đạo thực hiện các chỉ tiêu kế hoạch SXKD được thông qua và ủy quyền cho HĐQT điều chỉnh một số mục tiêu trong trường hợp cần thiết. </w:t>
      </w:r>
    </w:p>
    <w:p w:rsidR="00CB4E42" w:rsidRPr="003F34A2" w:rsidRDefault="00CB4E42" w:rsidP="00CB4E42">
      <w:pPr>
        <w:jc w:val="both"/>
        <w:rPr>
          <w:rFonts w:ascii="Times New Roman" w:hAnsi="Times New Roman" w:cs="Times New Roman"/>
          <w:color w:val="auto"/>
          <w:sz w:val="28"/>
          <w:szCs w:val="26"/>
          <w:lang w:val="en-US"/>
        </w:rPr>
      </w:pPr>
      <w:r w:rsidRPr="003F34A2">
        <w:rPr>
          <w:rFonts w:ascii="Times New Roman" w:hAnsi="Times New Roman" w:cs="Times New Roman"/>
          <w:iCs/>
          <w:color w:val="auto"/>
          <w:sz w:val="28"/>
          <w:szCs w:val="26"/>
        </w:rPr>
        <w:t xml:space="preserve">3. </w:t>
      </w:r>
      <w:r w:rsidRPr="003F34A2">
        <w:rPr>
          <w:rFonts w:ascii="Times New Roman" w:hAnsi="Times New Roman" w:cs="Times New Roman"/>
          <w:color w:val="auto"/>
          <w:sz w:val="28"/>
          <w:szCs w:val="26"/>
        </w:rPr>
        <w:t xml:space="preserve">Thông qua </w:t>
      </w:r>
      <w:r w:rsidRPr="003F34A2">
        <w:rPr>
          <w:rFonts w:ascii="Times New Roman" w:hAnsi="Times New Roman" w:cs="Times New Roman"/>
          <w:color w:val="auto"/>
          <w:sz w:val="28"/>
          <w:szCs w:val="26"/>
          <w:lang w:val="en-US"/>
        </w:rPr>
        <w:t>chủ trương chuyển giao Nhà máy điện mặt trời LIG Quảng Trị sang Công ty dự án được thành lập tại tỉnh Quảng Trị.</w:t>
      </w:r>
    </w:p>
    <w:p w:rsidR="00CB4E42" w:rsidRPr="003F34A2" w:rsidRDefault="00CB4E42" w:rsidP="00CB4E42">
      <w:pPr>
        <w:spacing w:before="120" w:line="257" w:lineRule="auto"/>
        <w:jc w:val="both"/>
        <w:rPr>
          <w:rFonts w:ascii="Times New Roman" w:hAnsi="Times New Roman" w:cs="Times New Roman"/>
          <w:color w:val="auto"/>
          <w:sz w:val="28"/>
          <w:szCs w:val="26"/>
          <w:lang w:val="en-US"/>
        </w:rPr>
      </w:pPr>
      <w:r w:rsidRPr="003F34A2">
        <w:rPr>
          <w:rFonts w:ascii="Times New Roman" w:hAnsi="Times New Roman" w:cs="Times New Roman"/>
          <w:color w:val="auto"/>
          <w:sz w:val="28"/>
          <w:szCs w:val="26"/>
          <w:lang w:val="en-US"/>
        </w:rPr>
        <w:t>4. Thông qua chủ trương chuyển nhượng đến 100% vốn của Công ty TNHH MTV Điện mặt trời LICOGI13 nếu đảm bảo hiệu quả kinh tế; Giao HĐQT quyết định việc chuyển giao bảo đảm tuân thủ các qui định của pháp luật và báo cáo ĐHCĐ gần nhất.</w:t>
      </w:r>
    </w:p>
    <w:p w:rsidR="00CB4E42" w:rsidRPr="003F34A2" w:rsidRDefault="00CB4E42" w:rsidP="00CB4E42">
      <w:pPr>
        <w:pStyle w:val="Default"/>
        <w:spacing w:before="120" w:line="257" w:lineRule="auto"/>
        <w:jc w:val="both"/>
        <w:rPr>
          <w:rFonts w:ascii="Times New Roman" w:hAnsi="Times New Roman" w:cs="Times New Roman"/>
          <w:bCs/>
          <w:color w:val="auto"/>
          <w:sz w:val="28"/>
          <w:szCs w:val="26"/>
        </w:rPr>
      </w:pPr>
      <w:r w:rsidRPr="003F34A2">
        <w:rPr>
          <w:rFonts w:ascii="Times New Roman" w:hAnsi="Times New Roman" w:cs="Times New Roman"/>
          <w:bCs/>
          <w:color w:val="auto"/>
          <w:sz w:val="28"/>
          <w:szCs w:val="26"/>
        </w:rPr>
        <w:t>5. Thông qua việc ký kết các Hợp đồng mua bán vật tư/ Hợp đồng giao thầu; Hợp đồng vay/cho vay đối với các Công ty con, người có liên quan thực hiện trong năm 2019 (</w:t>
      </w:r>
      <w:r w:rsidRPr="003F34A2">
        <w:rPr>
          <w:rFonts w:ascii="Times New Roman" w:hAnsi="Times New Roman" w:cs="Times New Roman"/>
          <w:bCs/>
          <w:i/>
          <w:color w:val="auto"/>
          <w:sz w:val="28"/>
          <w:szCs w:val="26"/>
        </w:rPr>
        <w:t>phụ lục kèm theo</w:t>
      </w:r>
      <w:r w:rsidRPr="003F34A2">
        <w:rPr>
          <w:rFonts w:ascii="Times New Roman" w:hAnsi="Times New Roman" w:cs="Times New Roman"/>
          <w:bCs/>
          <w:color w:val="auto"/>
          <w:sz w:val="28"/>
          <w:szCs w:val="26"/>
        </w:rPr>
        <w:t>).</w:t>
      </w:r>
    </w:p>
    <w:p w:rsidR="00CB4E42" w:rsidRPr="003F34A2" w:rsidRDefault="007C2E4B" w:rsidP="00CB4E42">
      <w:pPr>
        <w:spacing w:before="80" w:after="40" w:line="276" w:lineRule="auto"/>
        <w:jc w:val="both"/>
        <w:rPr>
          <w:rFonts w:ascii="Times New Roman" w:eastAsia="Times New Roman" w:hAnsi="Times New Roman" w:cs="Times New Roman"/>
          <w:bCs/>
          <w:color w:val="auto"/>
          <w:sz w:val="28"/>
          <w:szCs w:val="26"/>
          <w:lang w:val="en-US" w:eastAsia="en-US"/>
        </w:rPr>
      </w:pPr>
      <w:r w:rsidRPr="003F34A2">
        <w:rPr>
          <w:rFonts w:ascii="Times New Roman" w:eastAsia="Times New Roman" w:hAnsi="Times New Roman" w:cs="Times New Roman"/>
          <w:bCs/>
          <w:color w:val="auto"/>
          <w:sz w:val="28"/>
          <w:szCs w:val="26"/>
          <w:lang w:val="en-US" w:eastAsia="en-US"/>
        </w:rPr>
        <w:t>6</w:t>
      </w:r>
      <w:r w:rsidR="00CB4E42" w:rsidRPr="003F34A2">
        <w:rPr>
          <w:rFonts w:ascii="Times New Roman" w:eastAsia="Times New Roman" w:hAnsi="Times New Roman" w:cs="Times New Roman"/>
          <w:bCs/>
          <w:color w:val="auto"/>
          <w:sz w:val="28"/>
          <w:szCs w:val="26"/>
          <w:lang w:val="en-US" w:eastAsia="en-US"/>
        </w:rPr>
        <w:t xml:space="preserve">. </w:t>
      </w:r>
      <w:r w:rsidR="00CB4E42" w:rsidRPr="003F34A2">
        <w:rPr>
          <w:rFonts w:ascii="Times New Roman" w:hAnsi="Times New Roman" w:cs="Times New Roman"/>
          <w:color w:val="auto"/>
          <w:sz w:val="28"/>
          <w:szCs w:val="26"/>
        </w:rPr>
        <w:t>Thống nhất chủ trương đầu tư các dự án năng lượng tái tạo</w:t>
      </w:r>
      <w:r w:rsidR="00CB4E42" w:rsidRPr="003F34A2">
        <w:rPr>
          <w:rFonts w:ascii="Times New Roman" w:hAnsi="Times New Roman" w:cs="Times New Roman"/>
          <w:color w:val="auto"/>
          <w:sz w:val="28"/>
          <w:szCs w:val="26"/>
          <w:lang w:val="en-US"/>
        </w:rPr>
        <w:t xml:space="preserve"> mới (điện gió, điện mặt trời, thủy điện). Giao HĐQT quyết định lựa chọn dự án đầu tư phù hợp, xây dựng phương án đầu tư và tổ chức thực hiện đảm bảo hiệu quả kinh tế, an toàn, tuân thủ các qui định của pháp luật, báo cáo kết quả tại đại hội cổ đông gần nhất.</w:t>
      </w:r>
    </w:p>
    <w:p w:rsidR="00CB4E42" w:rsidRPr="003F34A2" w:rsidRDefault="007C2E4B" w:rsidP="00CB4E42">
      <w:pPr>
        <w:spacing w:before="80" w:after="40" w:line="276" w:lineRule="auto"/>
        <w:jc w:val="both"/>
        <w:rPr>
          <w:rFonts w:ascii="Times New Roman" w:hAnsi="Times New Roman" w:cs="Times New Roman"/>
          <w:color w:val="auto"/>
          <w:sz w:val="28"/>
          <w:szCs w:val="26"/>
        </w:rPr>
      </w:pPr>
      <w:r w:rsidRPr="003F34A2">
        <w:rPr>
          <w:rFonts w:ascii="Times New Roman" w:eastAsia="Times New Roman" w:hAnsi="Times New Roman" w:cs="Times New Roman"/>
          <w:bCs/>
          <w:color w:val="auto"/>
          <w:sz w:val="28"/>
          <w:szCs w:val="26"/>
          <w:lang w:val="en-US" w:eastAsia="en-US"/>
        </w:rPr>
        <w:t>7</w:t>
      </w:r>
      <w:r w:rsidR="00CB4E42" w:rsidRPr="003F34A2">
        <w:rPr>
          <w:rFonts w:ascii="Times New Roman" w:eastAsia="Times New Roman" w:hAnsi="Times New Roman" w:cs="Times New Roman"/>
          <w:bCs/>
          <w:color w:val="auto"/>
          <w:sz w:val="28"/>
          <w:szCs w:val="26"/>
          <w:lang w:val="en-US" w:eastAsia="en-US"/>
        </w:rPr>
        <w:t xml:space="preserve">. </w:t>
      </w:r>
      <w:r w:rsidR="00CB4E42" w:rsidRPr="003F34A2">
        <w:rPr>
          <w:rFonts w:ascii="Times New Roman" w:hAnsi="Times New Roman" w:cs="Times New Roman"/>
          <w:color w:val="auto"/>
          <w:sz w:val="28"/>
          <w:szCs w:val="26"/>
        </w:rPr>
        <w:t>Thống nhất chủ trương chuyển đổi, cơ cấu lại các khoản mục tài sản đầu tư nếu xét thấy hiệu quả kinh tế và</w:t>
      </w:r>
      <w:r w:rsidR="00CB4E42" w:rsidRPr="003F34A2">
        <w:rPr>
          <w:rFonts w:ascii="Times New Roman" w:hAnsi="Times New Roman" w:cs="Times New Roman"/>
          <w:color w:val="auto"/>
          <w:sz w:val="28"/>
          <w:szCs w:val="26"/>
          <w:lang w:val="en-US"/>
        </w:rPr>
        <w:t xml:space="preserve"> mang lại</w:t>
      </w:r>
      <w:r w:rsidR="00CB4E42" w:rsidRPr="003F34A2">
        <w:rPr>
          <w:rFonts w:ascii="Times New Roman" w:hAnsi="Times New Roman" w:cs="Times New Roman"/>
          <w:color w:val="auto"/>
          <w:sz w:val="28"/>
          <w:szCs w:val="26"/>
        </w:rPr>
        <w:t xml:space="preserve"> lợi ích cho LICOGI13 (</w:t>
      </w:r>
      <w:r w:rsidR="00CB4E42" w:rsidRPr="003F34A2">
        <w:rPr>
          <w:rFonts w:ascii="Times New Roman" w:hAnsi="Times New Roman" w:cs="Times New Roman"/>
          <w:color w:val="auto"/>
          <w:sz w:val="28"/>
          <w:szCs w:val="26"/>
          <w:lang w:val="en-US"/>
        </w:rPr>
        <w:t xml:space="preserve">bao gồm dự án Khu du lịch cao cấp </w:t>
      </w:r>
      <w:r w:rsidR="00CB4E42" w:rsidRPr="003F34A2">
        <w:rPr>
          <w:rFonts w:ascii="Times New Roman" w:hAnsi="Times New Roman" w:cs="Times New Roman"/>
          <w:color w:val="auto"/>
          <w:sz w:val="28"/>
          <w:szCs w:val="26"/>
        </w:rPr>
        <w:t xml:space="preserve">Trà Cổ, </w:t>
      </w:r>
      <w:r w:rsidR="00CB4E42" w:rsidRPr="003F34A2">
        <w:rPr>
          <w:rFonts w:ascii="Times New Roman" w:hAnsi="Times New Roman" w:cs="Times New Roman"/>
          <w:color w:val="auto"/>
          <w:sz w:val="28"/>
          <w:szCs w:val="26"/>
          <w:lang w:val="en-US"/>
        </w:rPr>
        <w:t xml:space="preserve">Khu dân cư du lịch và dịch vụ </w:t>
      </w:r>
      <w:r w:rsidR="00CB4E42" w:rsidRPr="003F34A2">
        <w:rPr>
          <w:rFonts w:ascii="Times New Roman" w:hAnsi="Times New Roman" w:cs="Times New Roman"/>
          <w:color w:val="auto"/>
          <w:sz w:val="28"/>
          <w:szCs w:val="26"/>
        </w:rPr>
        <w:t>Cầu Hưng Lai Nghi,</w:t>
      </w:r>
      <w:r w:rsidR="00CB4E42" w:rsidRPr="003F34A2">
        <w:rPr>
          <w:rFonts w:ascii="Times New Roman" w:hAnsi="Times New Roman" w:cs="Times New Roman"/>
          <w:color w:val="auto"/>
          <w:sz w:val="28"/>
          <w:szCs w:val="26"/>
          <w:lang w:val="en-US"/>
        </w:rPr>
        <w:t xml:space="preserve"> khu du lịch Hồ</w:t>
      </w:r>
      <w:r w:rsidR="00CB4E42" w:rsidRPr="003F34A2">
        <w:rPr>
          <w:rFonts w:ascii="Times New Roman" w:hAnsi="Times New Roman" w:cs="Times New Roman"/>
          <w:color w:val="auto"/>
          <w:sz w:val="28"/>
          <w:szCs w:val="26"/>
        </w:rPr>
        <w:t xml:space="preserve"> Suối Cam</w:t>
      </w:r>
      <w:r w:rsidR="00CB4E42" w:rsidRPr="003F34A2">
        <w:rPr>
          <w:rFonts w:ascii="Times New Roman" w:hAnsi="Times New Roman" w:cs="Times New Roman"/>
          <w:color w:val="auto"/>
          <w:sz w:val="28"/>
          <w:szCs w:val="26"/>
          <w:lang w:val="en-US"/>
        </w:rPr>
        <w:t>…</w:t>
      </w:r>
      <w:r w:rsidR="00CB4E42" w:rsidRPr="003F34A2">
        <w:rPr>
          <w:rFonts w:ascii="Times New Roman" w:hAnsi="Times New Roman" w:cs="Times New Roman"/>
          <w:color w:val="auto"/>
          <w:sz w:val="28"/>
          <w:szCs w:val="26"/>
        </w:rPr>
        <w:t>); giao HĐQT chủ động quyết định việc cơ cấu, báo cáo kết quả tại ĐHCĐ kế tiếp.</w:t>
      </w:r>
    </w:p>
    <w:p w:rsidR="00CB4E42" w:rsidRPr="003F34A2" w:rsidRDefault="007C2E4B" w:rsidP="00CB4E42">
      <w:pPr>
        <w:spacing w:before="80" w:after="40" w:line="276" w:lineRule="auto"/>
        <w:jc w:val="both"/>
        <w:rPr>
          <w:rFonts w:ascii="Times New Roman" w:hAnsi="Times New Roman" w:cs="Times New Roman"/>
          <w:color w:val="auto"/>
          <w:sz w:val="28"/>
          <w:szCs w:val="26"/>
          <w:lang w:val="en-US"/>
        </w:rPr>
      </w:pPr>
      <w:r w:rsidRPr="003F34A2">
        <w:rPr>
          <w:rFonts w:ascii="Times New Roman" w:eastAsia="Times New Roman" w:hAnsi="Times New Roman" w:cs="Times New Roman"/>
          <w:bCs/>
          <w:color w:val="auto"/>
          <w:sz w:val="28"/>
          <w:szCs w:val="26"/>
          <w:lang w:val="en-US" w:eastAsia="en-US"/>
        </w:rPr>
        <w:t>8</w:t>
      </w:r>
      <w:r w:rsidR="00CB4E42" w:rsidRPr="003F34A2">
        <w:rPr>
          <w:rFonts w:ascii="Times New Roman" w:eastAsia="Times New Roman" w:hAnsi="Times New Roman" w:cs="Times New Roman"/>
          <w:bCs/>
          <w:color w:val="auto"/>
          <w:sz w:val="28"/>
          <w:szCs w:val="26"/>
          <w:lang w:val="en-US" w:eastAsia="en-US"/>
        </w:rPr>
        <w:t xml:space="preserve">. </w:t>
      </w:r>
      <w:r w:rsidR="00CB4E42" w:rsidRPr="003F34A2">
        <w:rPr>
          <w:rFonts w:ascii="Times New Roman" w:hAnsi="Times New Roman" w:cs="Times New Roman"/>
          <w:color w:val="auto"/>
          <w:sz w:val="28"/>
          <w:szCs w:val="26"/>
        </w:rPr>
        <w:t>Ủy quyền cho HĐQT quyết định góp vốn thành lập các Công ty con/ liên kết để thực hiện đầu tư các Dự án</w:t>
      </w:r>
      <w:r w:rsidR="00CB4E42" w:rsidRPr="003F34A2">
        <w:rPr>
          <w:rFonts w:ascii="Times New Roman" w:hAnsi="Times New Roman" w:cs="Times New Roman"/>
          <w:color w:val="auto"/>
          <w:sz w:val="28"/>
          <w:szCs w:val="26"/>
          <w:lang w:val="en-US"/>
        </w:rPr>
        <w:t>.</w:t>
      </w:r>
    </w:p>
    <w:p w:rsidR="00CB4E42" w:rsidRPr="003F34A2" w:rsidRDefault="007C2E4B" w:rsidP="00CB4E42">
      <w:pPr>
        <w:pStyle w:val="Default"/>
        <w:spacing w:before="120" w:line="257"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9</w:t>
      </w:r>
      <w:r w:rsidR="00CB4E42" w:rsidRPr="003F34A2">
        <w:rPr>
          <w:rFonts w:ascii="Times New Roman" w:hAnsi="Times New Roman" w:cs="Times New Roman"/>
          <w:color w:val="auto"/>
          <w:sz w:val="28"/>
          <w:szCs w:val="26"/>
        </w:rPr>
        <w:t>. Phê duyệt tổng mức chi trả thù lao HĐQT, BKS năm 2019; Thông qua mức trả thù lao HĐQT, BKS năm 2020 (</w:t>
      </w:r>
      <w:r w:rsidR="00CB4E42" w:rsidRPr="003F34A2">
        <w:rPr>
          <w:rFonts w:ascii="Times New Roman" w:hAnsi="Times New Roman" w:cs="Times New Roman"/>
          <w:i/>
          <w:color w:val="auto"/>
          <w:sz w:val="28"/>
          <w:szCs w:val="26"/>
        </w:rPr>
        <w:t>Không bao gồm tiền lương đối với các vị trí chuyên trách)</w:t>
      </w:r>
      <w:r w:rsidR="00CB4E42" w:rsidRPr="003F34A2">
        <w:rPr>
          <w:rFonts w:ascii="Times New Roman" w:hAnsi="Times New Roman" w:cs="Times New Roman"/>
          <w:color w:val="auto"/>
          <w:sz w:val="28"/>
          <w:szCs w:val="26"/>
        </w:rPr>
        <w:t>,cụ thể như sau:</w:t>
      </w:r>
    </w:p>
    <w:p w:rsidR="00CB4E42" w:rsidRPr="003F34A2" w:rsidRDefault="00CB4E42" w:rsidP="00FA43B7">
      <w:pPr>
        <w:spacing w:before="120" w:line="257" w:lineRule="auto"/>
        <w:jc w:val="both"/>
        <w:rPr>
          <w:rFonts w:ascii="Times New Roman" w:hAnsi="Times New Roman" w:cs="Times New Roman"/>
          <w:color w:val="auto"/>
          <w:sz w:val="28"/>
          <w:szCs w:val="26"/>
          <w:lang w:val="it-IT"/>
        </w:rPr>
      </w:pPr>
      <w:r w:rsidRPr="003F34A2">
        <w:rPr>
          <w:rFonts w:ascii="Times New Roman" w:hAnsi="Times New Roman" w:cs="Times New Roman"/>
          <w:color w:val="auto"/>
          <w:sz w:val="28"/>
          <w:szCs w:val="26"/>
          <w:lang w:val="it-IT"/>
        </w:rPr>
        <w:t>- Tổng số tiền chi trả năm 2019 là  500.000.000 đồng (</w:t>
      </w:r>
      <w:r w:rsidRPr="003F34A2">
        <w:rPr>
          <w:rFonts w:ascii="Times New Roman" w:hAnsi="Times New Roman" w:cs="Times New Roman"/>
          <w:i/>
          <w:color w:val="auto"/>
          <w:sz w:val="28"/>
          <w:szCs w:val="26"/>
          <w:lang w:val="it-IT"/>
        </w:rPr>
        <w:t>Năm trăm triệu đồng</w:t>
      </w:r>
      <w:r w:rsidRPr="003F34A2">
        <w:rPr>
          <w:rFonts w:ascii="Times New Roman" w:hAnsi="Times New Roman" w:cs="Times New Roman"/>
          <w:color w:val="auto"/>
          <w:sz w:val="28"/>
          <w:szCs w:val="26"/>
          <w:lang w:val="it-IT"/>
        </w:rPr>
        <w:t>).</w:t>
      </w:r>
    </w:p>
    <w:p w:rsidR="00CB4E42" w:rsidRPr="003F34A2" w:rsidRDefault="00CB4E42" w:rsidP="00FA43B7">
      <w:pPr>
        <w:spacing w:before="120" w:line="257" w:lineRule="auto"/>
        <w:jc w:val="both"/>
        <w:rPr>
          <w:rFonts w:ascii="Times New Roman" w:hAnsi="Times New Roman" w:cs="Times New Roman"/>
          <w:i/>
          <w:color w:val="auto"/>
          <w:sz w:val="28"/>
          <w:szCs w:val="26"/>
          <w:lang w:val="it-IT"/>
        </w:rPr>
      </w:pPr>
      <w:r w:rsidRPr="003F34A2">
        <w:rPr>
          <w:rFonts w:ascii="Times New Roman" w:hAnsi="Times New Roman" w:cs="Times New Roman"/>
          <w:color w:val="auto"/>
          <w:sz w:val="28"/>
          <w:szCs w:val="26"/>
          <w:lang w:val="it-IT"/>
        </w:rPr>
        <w:lastRenderedPageBreak/>
        <w:t>- Tổng số tiền dự kiến chi trả năm 2020</w:t>
      </w:r>
      <w:r w:rsidR="00FA43B7" w:rsidRPr="003F34A2">
        <w:rPr>
          <w:rFonts w:ascii="Times New Roman" w:hAnsi="Times New Roman" w:cs="Times New Roman"/>
          <w:color w:val="auto"/>
          <w:sz w:val="28"/>
          <w:szCs w:val="26"/>
          <w:lang w:val="it-IT"/>
        </w:rPr>
        <w:t xml:space="preserve">: </w:t>
      </w:r>
      <w:r w:rsidRPr="003F34A2">
        <w:rPr>
          <w:rFonts w:ascii="Times New Roman" w:hAnsi="Times New Roman" w:cs="Times New Roman"/>
          <w:color w:val="auto"/>
          <w:sz w:val="28"/>
          <w:szCs w:val="26"/>
          <w:lang w:val="it-IT"/>
        </w:rPr>
        <w:t>1.200.000.000 đồng (</w:t>
      </w:r>
      <w:r w:rsidRPr="003F34A2">
        <w:rPr>
          <w:rFonts w:ascii="Times New Roman" w:hAnsi="Times New Roman" w:cs="Times New Roman"/>
          <w:i/>
          <w:color w:val="auto"/>
          <w:sz w:val="28"/>
          <w:szCs w:val="26"/>
          <w:lang w:val="it-IT"/>
        </w:rPr>
        <w:t>Một tỷ hai trăm                                                                 triệu đồng).</w:t>
      </w:r>
    </w:p>
    <w:p w:rsidR="00CB4E42" w:rsidRPr="003F34A2" w:rsidRDefault="00CB4E42" w:rsidP="00FA43B7">
      <w:pPr>
        <w:pStyle w:val="Default"/>
        <w:spacing w:before="120" w:line="257" w:lineRule="auto"/>
        <w:jc w:val="both"/>
        <w:rPr>
          <w:rFonts w:ascii="Times New Roman" w:hAnsi="Times New Roman" w:cs="Times New Roman"/>
          <w:color w:val="auto"/>
          <w:sz w:val="28"/>
          <w:szCs w:val="26"/>
          <w:lang w:val="it-IT"/>
        </w:rPr>
      </w:pPr>
      <w:r w:rsidRPr="003F34A2">
        <w:rPr>
          <w:rFonts w:ascii="Times New Roman" w:hAnsi="Times New Roman" w:cs="Times New Roman"/>
          <w:color w:val="auto"/>
          <w:sz w:val="28"/>
          <w:szCs w:val="26"/>
          <w:lang w:val="it-IT"/>
        </w:rPr>
        <w:t>- Nguồn kinh phí: được hạch toán vào chi phí sản xuất năm 2020.</w:t>
      </w:r>
    </w:p>
    <w:p w:rsidR="00CB4E42" w:rsidRPr="003F34A2" w:rsidRDefault="00CB4E42" w:rsidP="00CB4E42">
      <w:pPr>
        <w:pStyle w:val="Default"/>
        <w:spacing w:before="120" w:line="257" w:lineRule="auto"/>
        <w:jc w:val="both"/>
        <w:rPr>
          <w:rFonts w:ascii="Times New Roman" w:hAnsi="Times New Roman" w:cs="Times New Roman"/>
          <w:color w:val="auto"/>
          <w:sz w:val="28"/>
          <w:szCs w:val="26"/>
          <w:lang w:val="it-IT"/>
        </w:rPr>
      </w:pPr>
      <w:r w:rsidRPr="003F34A2">
        <w:rPr>
          <w:rFonts w:ascii="Times New Roman" w:hAnsi="Times New Roman" w:cs="Times New Roman"/>
          <w:color w:val="auto"/>
          <w:sz w:val="28"/>
          <w:szCs w:val="26"/>
          <w:lang w:val="it-IT"/>
        </w:rPr>
        <w:t>- Chủ tịch HĐQT quyết định việc phân phối thù lao cho các thành viên HĐQT và thành viên BKS dựa trên vị trí và chất lượng công việc của từng người.</w:t>
      </w:r>
    </w:p>
    <w:p w:rsidR="00CB4E42" w:rsidRPr="003F34A2" w:rsidRDefault="00CB4E42" w:rsidP="00CB4E42">
      <w:pPr>
        <w:spacing w:before="120" w:line="257" w:lineRule="auto"/>
        <w:jc w:val="both"/>
        <w:rPr>
          <w:rFonts w:ascii="Times New Roman" w:hAnsi="Times New Roman" w:cs="Times New Roman"/>
          <w:color w:val="auto"/>
          <w:sz w:val="28"/>
          <w:szCs w:val="26"/>
          <w:lang w:val="it-IT"/>
        </w:rPr>
      </w:pPr>
      <w:r w:rsidRPr="003F34A2">
        <w:rPr>
          <w:rFonts w:ascii="Times New Roman" w:hAnsi="Times New Roman" w:cs="Times New Roman"/>
          <w:color w:val="auto"/>
          <w:sz w:val="28"/>
          <w:szCs w:val="26"/>
          <w:lang w:val="it-IT"/>
        </w:rPr>
        <w:t>1</w:t>
      </w:r>
      <w:r w:rsidR="007C2E4B" w:rsidRPr="003F34A2">
        <w:rPr>
          <w:rFonts w:ascii="Times New Roman" w:hAnsi="Times New Roman" w:cs="Times New Roman"/>
          <w:color w:val="auto"/>
          <w:sz w:val="28"/>
          <w:szCs w:val="26"/>
          <w:lang w:val="it-IT"/>
        </w:rPr>
        <w:t>0</w:t>
      </w:r>
      <w:r w:rsidRPr="003F34A2">
        <w:rPr>
          <w:rFonts w:ascii="Times New Roman" w:hAnsi="Times New Roman" w:cs="Times New Roman"/>
          <w:color w:val="auto"/>
          <w:sz w:val="28"/>
          <w:szCs w:val="26"/>
          <w:lang w:val="it-IT"/>
        </w:rPr>
        <w:t>. Ủy quyền cho HĐQT lựa chọn đơn vị kiểm toán báo cáo tài chính năm 2020 đảm bảo chất lượng, hiệu quả với chi phí hợp lý. Dự kiến một trong 3 đơn vị kiểm toán sẽ lựa chọn là:</w:t>
      </w:r>
    </w:p>
    <w:p w:rsidR="00CB4E42" w:rsidRPr="003F34A2" w:rsidRDefault="00CB4E42" w:rsidP="00CB4E42">
      <w:pPr>
        <w:spacing w:before="120" w:line="257" w:lineRule="auto"/>
        <w:jc w:val="both"/>
        <w:rPr>
          <w:rFonts w:ascii="Times New Roman" w:hAnsi="Times New Roman" w:cs="Times New Roman"/>
          <w:color w:val="auto"/>
          <w:sz w:val="28"/>
          <w:szCs w:val="26"/>
          <w:lang w:val="it-IT"/>
        </w:rPr>
      </w:pPr>
      <w:r w:rsidRPr="003F34A2">
        <w:rPr>
          <w:rFonts w:ascii="Times New Roman" w:hAnsi="Times New Roman" w:cs="Times New Roman"/>
          <w:color w:val="auto"/>
          <w:sz w:val="28"/>
          <w:szCs w:val="26"/>
          <w:lang w:val="it-IT"/>
        </w:rPr>
        <w:t>- Công ty TNHH Kiểm toán AFC Việt Nam;</w:t>
      </w:r>
      <w:r w:rsidRPr="003F34A2">
        <w:rPr>
          <w:rFonts w:ascii="Times New Roman" w:hAnsi="Times New Roman" w:cs="Times New Roman"/>
          <w:i/>
          <w:color w:val="auto"/>
          <w:sz w:val="28"/>
          <w:szCs w:val="26"/>
          <w:lang w:val="it-IT"/>
        </w:rPr>
        <w:t xml:space="preserve"> </w:t>
      </w:r>
    </w:p>
    <w:p w:rsidR="00CB4E42" w:rsidRPr="003F34A2" w:rsidRDefault="00CB4E42" w:rsidP="00CB4E42">
      <w:pPr>
        <w:spacing w:before="120" w:line="257" w:lineRule="auto"/>
        <w:jc w:val="both"/>
        <w:rPr>
          <w:rFonts w:ascii="Times New Roman" w:hAnsi="Times New Roman" w:cs="Times New Roman"/>
          <w:color w:val="auto"/>
          <w:sz w:val="28"/>
          <w:szCs w:val="26"/>
          <w:lang w:val="it-IT"/>
        </w:rPr>
      </w:pPr>
      <w:r w:rsidRPr="003F34A2">
        <w:rPr>
          <w:rFonts w:ascii="Times New Roman" w:hAnsi="Times New Roman" w:cs="Times New Roman"/>
          <w:color w:val="auto"/>
          <w:sz w:val="28"/>
          <w:szCs w:val="26"/>
          <w:lang w:val="it-IT"/>
        </w:rPr>
        <w:t>- Công ty TNHH</w:t>
      </w:r>
      <w:r w:rsidRPr="003F34A2">
        <w:rPr>
          <w:rFonts w:ascii="Times New Roman" w:hAnsi="Times New Roman" w:cs="Times New Roman"/>
          <w:color w:val="auto"/>
          <w:sz w:val="28"/>
          <w:szCs w:val="26"/>
        </w:rPr>
        <w:t xml:space="preserve"> Kiểm toán</w:t>
      </w:r>
      <w:r w:rsidRPr="003F34A2">
        <w:rPr>
          <w:rFonts w:ascii="Times New Roman" w:hAnsi="Times New Roman" w:cs="Times New Roman"/>
          <w:color w:val="auto"/>
          <w:sz w:val="28"/>
          <w:szCs w:val="26"/>
          <w:lang w:val="it-IT"/>
        </w:rPr>
        <w:t xml:space="preserve"> và thẩm định giá Việt Nam hoặc</w:t>
      </w:r>
    </w:p>
    <w:p w:rsidR="00CB4E42" w:rsidRPr="003F34A2" w:rsidRDefault="00CB4E42" w:rsidP="00CB4E42">
      <w:pPr>
        <w:spacing w:before="120" w:line="257" w:lineRule="auto"/>
        <w:jc w:val="both"/>
        <w:rPr>
          <w:rFonts w:ascii="Times New Roman" w:hAnsi="Times New Roman" w:cs="Times New Roman"/>
          <w:color w:val="auto"/>
          <w:sz w:val="28"/>
          <w:szCs w:val="26"/>
          <w:lang w:val="it-IT"/>
        </w:rPr>
      </w:pPr>
      <w:r w:rsidRPr="003F34A2">
        <w:rPr>
          <w:rFonts w:ascii="Times New Roman" w:hAnsi="Times New Roman" w:cs="Times New Roman"/>
          <w:color w:val="auto"/>
          <w:sz w:val="28"/>
          <w:szCs w:val="26"/>
          <w:lang w:val="it-IT"/>
        </w:rPr>
        <w:t>- Công ty TNHH Kiểm toán TTP.</w:t>
      </w:r>
    </w:p>
    <w:p w:rsidR="00CB4E42" w:rsidRPr="003F34A2" w:rsidRDefault="00CB4E42" w:rsidP="00CB4E42">
      <w:pPr>
        <w:spacing w:before="120" w:line="257" w:lineRule="auto"/>
        <w:jc w:val="both"/>
        <w:rPr>
          <w:rFonts w:ascii="Times New Roman" w:hAnsi="Times New Roman" w:cs="Times New Roman"/>
          <w:color w:val="auto"/>
          <w:sz w:val="28"/>
          <w:szCs w:val="26"/>
          <w:lang w:val="it-IT"/>
        </w:rPr>
      </w:pPr>
      <w:r w:rsidRPr="003F34A2">
        <w:rPr>
          <w:rFonts w:ascii="Times New Roman" w:hAnsi="Times New Roman" w:cs="Times New Roman"/>
          <w:color w:val="auto"/>
          <w:sz w:val="28"/>
          <w:szCs w:val="26"/>
        </w:rPr>
        <w:t>1</w:t>
      </w:r>
      <w:r w:rsidR="007C2E4B" w:rsidRPr="003F34A2">
        <w:rPr>
          <w:rFonts w:ascii="Times New Roman" w:hAnsi="Times New Roman" w:cs="Times New Roman"/>
          <w:color w:val="auto"/>
          <w:sz w:val="28"/>
          <w:szCs w:val="26"/>
          <w:lang w:val="en-US"/>
        </w:rPr>
        <w:t>1</w:t>
      </w:r>
      <w:r w:rsidRPr="003F34A2">
        <w:rPr>
          <w:rFonts w:ascii="Times New Roman" w:hAnsi="Times New Roman" w:cs="Times New Roman"/>
          <w:color w:val="auto"/>
          <w:sz w:val="28"/>
          <w:szCs w:val="26"/>
        </w:rPr>
        <w:t xml:space="preserve">. </w:t>
      </w:r>
      <w:r w:rsidRPr="003F34A2">
        <w:rPr>
          <w:rFonts w:ascii="Times New Roman" w:hAnsi="Times New Roman" w:cs="Times New Roman"/>
          <w:color w:val="auto"/>
          <w:sz w:val="28"/>
          <w:szCs w:val="26"/>
          <w:lang w:val="it-IT"/>
        </w:rPr>
        <w:t>Thông qua Báo cáo kết quả giám sát và hoạt động của Ban Kiểm soát.</w:t>
      </w:r>
    </w:p>
    <w:p w:rsidR="00CB4E42" w:rsidRPr="003F34A2" w:rsidRDefault="00CB4E42" w:rsidP="00CB4E42">
      <w:pPr>
        <w:spacing w:before="120" w:line="257" w:lineRule="auto"/>
        <w:jc w:val="both"/>
        <w:rPr>
          <w:rFonts w:ascii="Times New Roman" w:hAnsi="Times New Roman" w:cs="Times New Roman"/>
          <w:color w:val="auto"/>
          <w:sz w:val="28"/>
          <w:szCs w:val="26"/>
          <w:lang w:val="nl-NL"/>
        </w:rPr>
      </w:pPr>
      <w:r w:rsidRPr="003F34A2">
        <w:rPr>
          <w:rFonts w:ascii="Times New Roman" w:hAnsi="Times New Roman" w:cs="Times New Roman"/>
          <w:color w:val="auto"/>
          <w:sz w:val="28"/>
          <w:szCs w:val="26"/>
          <w:lang w:val="it-IT"/>
        </w:rPr>
        <w:t>1</w:t>
      </w:r>
      <w:r w:rsidR="007C2E4B" w:rsidRPr="003F34A2">
        <w:rPr>
          <w:rFonts w:ascii="Times New Roman" w:hAnsi="Times New Roman" w:cs="Times New Roman"/>
          <w:color w:val="auto"/>
          <w:sz w:val="28"/>
          <w:szCs w:val="26"/>
          <w:lang w:val="it-IT"/>
        </w:rPr>
        <w:t>2</w:t>
      </w:r>
      <w:r w:rsidRPr="003F34A2">
        <w:rPr>
          <w:rFonts w:ascii="Times New Roman" w:hAnsi="Times New Roman" w:cs="Times New Roman"/>
          <w:color w:val="auto"/>
          <w:sz w:val="28"/>
          <w:szCs w:val="26"/>
          <w:lang w:val="it-IT"/>
        </w:rPr>
        <w:t xml:space="preserve">. </w:t>
      </w:r>
      <w:r w:rsidRPr="003F34A2">
        <w:rPr>
          <w:rFonts w:ascii="Times New Roman" w:hAnsi="Times New Roman" w:cs="Times New Roman"/>
          <w:color w:val="auto"/>
          <w:sz w:val="28"/>
          <w:szCs w:val="26"/>
          <w:lang w:val="nl-NL"/>
        </w:rPr>
        <w:t>Đại hội đồng cổ đông giao cho HĐQT:</w:t>
      </w:r>
    </w:p>
    <w:p w:rsidR="00CB4E42" w:rsidRPr="003F34A2" w:rsidRDefault="00CB4E42" w:rsidP="00CB4E42">
      <w:pPr>
        <w:spacing w:before="120" w:line="257" w:lineRule="auto"/>
        <w:jc w:val="both"/>
        <w:rPr>
          <w:rFonts w:ascii="Times New Roman" w:hAnsi="Times New Roman" w:cs="Times New Roman"/>
          <w:color w:val="auto"/>
          <w:sz w:val="28"/>
          <w:szCs w:val="26"/>
          <w:lang w:val="it-IT"/>
        </w:rPr>
      </w:pPr>
      <w:r w:rsidRPr="003F34A2">
        <w:rPr>
          <w:rFonts w:ascii="Times New Roman" w:hAnsi="Times New Roman" w:cs="Times New Roman"/>
          <w:color w:val="auto"/>
          <w:sz w:val="28"/>
          <w:szCs w:val="26"/>
          <w:lang w:val="it-IT"/>
        </w:rPr>
        <w:t>- Triển khai thực hiện các nội dung Nghị quyết của Đại hội cổ đông năm 2020.</w:t>
      </w:r>
    </w:p>
    <w:p w:rsidR="00CB4E42" w:rsidRPr="003F34A2" w:rsidRDefault="00CB4E42" w:rsidP="00CB4E42">
      <w:pPr>
        <w:spacing w:before="120" w:line="257" w:lineRule="auto"/>
        <w:jc w:val="both"/>
        <w:rPr>
          <w:rFonts w:ascii="Times New Roman" w:hAnsi="Times New Roman" w:cs="Times New Roman"/>
          <w:color w:val="auto"/>
          <w:sz w:val="28"/>
          <w:szCs w:val="26"/>
          <w:lang w:val="it-IT"/>
        </w:rPr>
      </w:pPr>
      <w:r w:rsidRPr="003F34A2">
        <w:rPr>
          <w:rFonts w:ascii="Times New Roman" w:hAnsi="Times New Roman" w:cs="Times New Roman"/>
          <w:color w:val="auto"/>
          <w:sz w:val="28"/>
          <w:szCs w:val="26"/>
          <w:lang w:val="it-IT"/>
        </w:rPr>
        <w:t xml:space="preserve">- Giám sát chặt chẽ và hỗ trợ kịp thời hoạt động của Ban điều hành để bảo đảm đạt được các mục tiêu đã thông qua; </w:t>
      </w:r>
    </w:p>
    <w:p w:rsidR="00CB4E42" w:rsidRPr="003F34A2" w:rsidRDefault="00CB4E42" w:rsidP="00CB4E42">
      <w:pPr>
        <w:spacing w:before="120" w:line="257" w:lineRule="auto"/>
        <w:jc w:val="both"/>
        <w:rPr>
          <w:rFonts w:ascii="Times New Roman" w:hAnsi="Times New Roman" w:cs="Times New Roman"/>
          <w:color w:val="auto"/>
          <w:sz w:val="28"/>
          <w:szCs w:val="26"/>
          <w:lang w:val="nl-NL"/>
        </w:rPr>
      </w:pPr>
      <w:r w:rsidRPr="003F34A2">
        <w:rPr>
          <w:rFonts w:ascii="Times New Roman" w:hAnsi="Times New Roman" w:cs="Times New Roman"/>
          <w:color w:val="auto"/>
          <w:sz w:val="28"/>
          <w:szCs w:val="26"/>
          <w:lang w:val="nl-NL"/>
        </w:rPr>
        <w:t>-  Thực hiện một cách linh hoạt để đạt được hiệu quả tốt nhất các nội dung được Đại hội đồng cổ đông ủy quyền và báo cáo Đại hội đồng cổ đông trong lần Đại hội kế tiếp.</w:t>
      </w:r>
    </w:p>
    <w:p w:rsidR="00CB4E42" w:rsidRPr="003F34A2" w:rsidRDefault="00CB4E42" w:rsidP="00FA43B7">
      <w:pPr>
        <w:spacing w:before="120" w:line="257" w:lineRule="auto"/>
        <w:ind w:firstLine="720"/>
        <w:jc w:val="both"/>
        <w:rPr>
          <w:rFonts w:ascii="Times New Roman" w:hAnsi="Times New Roman" w:cs="Times New Roman"/>
          <w:i/>
          <w:color w:val="auto"/>
          <w:sz w:val="28"/>
          <w:szCs w:val="26"/>
          <w:lang w:val="nl-NL"/>
        </w:rPr>
      </w:pPr>
      <w:r w:rsidRPr="003F34A2">
        <w:rPr>
          <w:rFonts w:ascii="Times New Roman" w:hAnsi="Times New Roman" w:cs="Times New Roman"/>
          <w:i/>
          <w:color w:val="auto"/>
          <w:sz w:val="28"/>
          <w:szCs w:val="26"/>
          <w:lang w:val="nl-NL"/>
        </w:rPr>
        <w:t>Kính trình các Quí vị cổ đông xem xét, biểu quyết thông qua.</w:t>
      </w:r>
    </w:p>
    <w:p w:rsidR="00CB4E42" w:rsidRPr="003F34A2" w:rsidRDefault="00CB4E42" w:rsidP="00CB4E42">
      <w:pPr>
        <w:spacing w:before="120" w:after="120" w:line="257" w:lineRule="auto"/>
        <w:ind w:firstLine="720"/>
        <w:jc w:val="both"/>
        <w:rPr>
          <w:rFonts w:ascii="Times New Roman" w:hAnsi="Times New Roman" w:cs="Times New Roman"/>
          <w:color w:val="auto"/>
          <w:sz w:val="28"/>
          <w:szCs w:val="26"/>
          <w:lang w:val="nl-NL"/>
        </w:rPr>
      </w:pPr>
      <w:r w:rsidRPr="003F34A2">
        <w:rPr>
          <w:rFonts w:ascii="Times New Roman" w:hAnsi="Times New Roman" w:cs="Times New Roman"/>
          <w:i/>
          <w:color w:val="auto"/>
          <w:sz w:val="28"/>
          <w:szCs w:val="26"/>
          <w:lang w:val="nl-NL"/>
        </w:rPr>
        <w:t>Trân trọng cảm ơn!</w:t>
      </w:r>
    </w:p>
    <w:p w:rsidR="00CB4E42" w:rsidRPr="003F34A2" w:rsidRDefault="00CB4E42" w:rsidP="00FA43B7">
      <w:pPr>
        <w:spacing w:line="257" w:lineRule="auto"/>
        <w:rPr>
          <w:rFonts w:ascii="Times New Roman" w:hAnsi="Times New Roman" w:cs="Times New Roman"/>
          <w:b/>
          <w:color w:val="auto"/>
          <w:sz w:val="26"/>
          <w:szCs w:val="26"/>
          <w:lang w:val="nl-NL"/>
        </w:rPr>
      </w:pP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Pr="003F34A2">
        <w:rPr>
          <w:rFonts w:ascii="Times New Roman" w:hAnsi="Times New Roman" w:cs="Times New Roman"/>
          <w:b/>
          <w:color w:val="auto"/>
          <w:sz w:val="26"/>
          <w:szCs w:val="26"/>
          <w:lang w:val="nl-NL"/>
        </w:rPr>
        <w:t>TM. HỘI ĐỒNG QUẢN TRỊ</w:t>
      </w:r>
    </w:p>
    <w:p w:rsidR="00CB4E42" w:rsidRPr="003F34A2" w:rsidRDefault="00CB4E42" w:rsidP="00FA43B7">
      <w:pPr>
        <w:spacing w:line="257" w:lineRule="auto"/>
        <w:rPr>
          <w:rFonts w:ascii="Times New Roman" w:hAnsi="Times New Roman" w:cs="Times New Roman"/>
          <w:b/>
          <w:color w:val="auto"/>
          <w:sz w:val="26"/>
          <w:szCs w:val="26"/>
          <w:lang w:val="nl-NL"/>
        </w:rPr>
      </w:pPr>
      <w:r w:rsidRPr="003F34A2">
        <w:rPr>
          <w:rFonts w:ascii="Times New Roman" w:hAnsi="Times New Roman" w:cs="Times New Roman"/>
          <w:b/>
          <w:color w:val="auto"/>
          <w:sz w:val="26"/>
          <w:szCs w:val="26"/>
          <w:lang w:val="nl-NL"/>
        </w:rPr>
        <w:tab/>
      </w:r>
      <w:r w:rsidRPr="003F34A2">
        <w:rPr>
          <w:rFonts w:ascii="Times New Roman" w:hAnsi="Times New Roman" w:cs="Times New Roman"/>
          <w:b/>
          <w:color w:val="auto"/>
          <w:sz w:val="26"/>
          <w:szCs w:val="26"/>
          <w:lang w:val="nl-NL"/>
        </w:rPr>
        <w:tab/>
      </w:r>
      <w:r w:rsidRPr="003F34A2">
        <w:rPr>
          <w:rFonts w:ascii="Times New Roman" w:hAnsi="Times New Roman" w:cs="Times New Roman"/>
          <w:b/>
          <w:color w:val="auto"/>
          <w:sz w:val="26"/>
          <w:szCs w:val="26"/>
          <w:lang w:val="nl-NL"/>
        </w:rPr>
        <w:tab/>
      </w:r>
      <w:r w:rsidRPr="003F34A2">
        <w:rPr>
          <w:rFonts w:ascii="Times New Roman" w:hAnsi="Times New Roman" w:cs="Times New Roman"/>
          <w:b/>
          <w:color w:val="auto"/>
          <w:sz w:val="26"/>
          <w:szCs w:val="26"/>
          <w:lang w:val="nl-NL"/>
        </w:rPr>
        <w:tab/>
      </w:r>
      <w:r w:rsidRPr="003F34A2">
        <w:rPr>
          <w:rFonts w:ascii="Times New Roman" w:hAnsi="Times New Roman" w:cs="Times New Roman"/>
          <w:b/>
          <w:color w:val="auto"/>
          <w:sz w:val="26"/>
          <w:szCs w:val="26"/>
          <w:lang w:val="nl-NL"/>
        </w:rPr>
        <w:tab/>
      </w:r>
      <w:r w:rsidRPr="003F34A2">
        <w:rPr>
          <w:rFonts w:ascii="Times New Roman" w:hAnsi="Times New Roman" w:cs="Times New Roman"/>
          <w:b/>
          <w:color w:val="auto"/>
          <w:sz w:val="26"/>
          <w:szCs w:val="26"/>
          <w:lang w:val="nl-NL"/>
        </w:rPr>
        <w:tab/>
      </w:r>
      <w:r w:rsidRPr="003F34A2">
        <w:rPr>
          <w:rFonts w:ascii="Times New Roman" w:hAnsi="Times New Roman" w:cs="Times New Roman"/>
          <w:b/>
          <w:color w:val="auto"/>
          <w:sz w:val="26"/>
          <w:szCs w:val="26"/>
          <w:lang w:val="nl-NL"/>
        </w:rPr>
        <w:tab/>
      </w:r>
      <w:r w:rsidRPr="003F34A2">
        <w:rPr>
          <w:rFonts w:ascii="Times New Roman" w:hAnsi="Times New Roman" w:cs="Times New Roman"/>
          <w:b/>
          <w:color w:val="auto"/>
          <w:sz w:val="26"/>
          <w:szCs w:val="26"/>
          <w:lang w:val="nl-NL"/>
        </w:rPr>
        <w:tab/>
        <w:t xml:space="preserve">     CHỦ TỊCH</w:t>
      </w:r>
    </w:p>
    <w:p w:rsidR="00CB4E42" w:rsidRPr="003F34A2" w:rsidRDefault="00CB4E42" w:rsidP="00CB4E42">
      <w:pPr>
        <w:spacing w:before="120" w:line="257" w:lineRule="auto"/>
        <w:rPr>
          <w:rFonts w:ascii="Times New Roman" w:hAnsi="Times New Roman" w:cs="Times New Roman"/>
          <w:color w:val="auto"/>
          <w:sz w:val="30"/>
          <w:szCs w:val="26"/>
          <w:lang w:val="nl-NL"/>
        </w:rPr>
      </w:pPr>
      <w:r w:rsidRPr="003F34A2">
        <w:rPr>
          <w:rFonts w:ascii="Times New Roman" w:hAnsi="Times New Roman" w:cs="Times New Roman"/>
          <w:color w:val="auto"/>
          <w:sz w:val="30"/>
          <w:szCs w:val="26"/>
          <w:lang w:val="nl-NL"/>
        </w:rPr>
        <w:tab/>
      </w:r>
    </w:p>
    <w:p w:rsidR="00CB4E42" w:rsidRPr="003F34A2" w:rsidRDefault="00CB4E42" w:rsidP="00CB4E42">
      <w:pPr>
        <w:spacing w:before="120" w:line="257" w:lineRule="auto"/>
        <w:rPr>
          <w:rFonts w:ascii="Times New Roman" w:hAnsi="Times New Roman" w:cs="Times New Roman"/>
          <w:color w:val="auto"/>
          <w:sz w:val="30"/>
          <w:szCs w:val="26"/>
          <w:lang w:val="nl-NL"/>
        </w:rPr>
      </w:pPr>
    </w:p>
    <w:p w:rsidR="00CB4E42" w:rsidRPr="003F34A2" w:rsidRDefault="00CB4E42" w:rsidP="00CB4E42">
      <w:pPr>
        <w:spacing w:before="120" w:line="257" w:lineRule="auto"/>
        <w:rPr>
          <w:rFonts w:ascii="Times New Roman" w:hAnsi="Times New Roman" w:cs="Times New Roman"/>
          <w:color w:val="auto"/>
          <w:sz w:val="30"/>
          <w:szCs w:val="26"/>
          <w:lang w:val="nl-NL"/>
        </w:rPr>
      </w:pPr>
    </w:p>
    <w:p w:rsidR="00CB4E42" w:rsidRPr="003F34A2" w:rsidRDefault="00CB4E42" w:rsidP="00CB4E42">
      <w:pPr>
        <w:spacing w:before="120" w:line="257" w:lineRule="auto"/>
        <w:ind w:left="5040" w:firstLine="720"/>
        <w:rPr>
          <w:rFonts w:ascii="Times New Roman" w:hAnsi="Times New Roman" w:cs="Times New Roman"/>
          <w:b/>
          <w:color w:val="auto"/>
          <w:sz w:val="30"/>
          <w:szCs w:val="26"/>
          <w:lang w:val="nl-NL"/>
        </w:rPr>
      </w:pPr>
      <w:r w:rsidRPr="003F34A2">
        <w:rPr>
          <w:rFonts w:ascii="Times New Roman" w:hAnsi="Times New Roman" w:cs="Times New Roman"/>
          <w:b/>
          <w:color w:val="auto"/>
          <w:sz w:val="30"/>
          <w:szCs w:val="26"/>
          <w:lang w:val="nl-NL"/>
        </w:rPr>
        <w:t xml:space="preserve">  Bùi Đình Sơn</w:t>
      </w:r>
    </w:p>
    <w:p w:rsidR="00CB4E42" w:rsidRPr="003F34A2" w:rsidRDefault="00CB4E42" w:rsidP="00CB4E42">
      <w:pPr>
        <w:spacing w:before="120" w:line="257" w:lineRule="auto"/>
        <w:rPr>
          <w:rFonts w:ascii="Times New Roman" w:hAnsi="Times New Roman" w:cs="Times New Roman"/>
          <w:color w:val="auto"/>
          <w:sz w:val="30"/>
          <w:szCs w:val="26"/>
          <w:lang w:val="nl-NL"/>
        </w:rPr>
      </w:pPr>
    </w:p>
    <w:p w:rsidR="00CB4E42" w:rsidRPr="003F34A2" w:rsidRDefault="00CB4E42" w:rsidP="00CB4E42">
      <w:pPr>
        <w:spacing w:before="120" w:line="257" w:lineRule="auto"/>
        <w:rPr>
          <w:rFonts w:ascii="Times New Roman" w:hAnsi="Times New Roman" w:cs="Times New Roman"/>
          <w:color w:val="auto"/>
          <w:sz w:val="28"/>
          <w:szCs w:val="26"/>
          <w:lang w:val="nl-NL"/>
        </w:rPr>
      </w:pPr>
    </w:p>
    <w:p w:rsidR="00CB4E42" w:rsidRPr="003F34A2" w:rsidRDefault="00CB4E42" w:rsidP="00CB4E42">
      <w:pPr>
        <w:spacing w:before="120" w:line="257" w:lineRule="auto"/>
        <w:rPr>
          <w:rFonts w:ascii="Times New Roman" w:hAnsi="Times New Roman" w:cs="Times New Roman"/>
          <w:color w:val="auto"/>
          <w:sz w:val="28"/>
          <w:szCs w:val="26"/>
          <w:lang w:val="nl-NL"/>
        </w:rPr>
      </w:pPr>
    </w:p>
    <w:p w:rsidR="00CB4E42" w:rsidRPr="003F34A2" w:rsidRDefault="00CB4E42" w:rsidP="00CB4E42">
      <w:pPr>
        <w:spacing w:before="120" w:line="257" w:lineRule="auto"/>
        <w:rPr>
          <w:rFonts w:ascii="Times New Roman" w:hAnsi="Times New Roman" w:cs="Times New Roman"/>
          <w:color w:val="auto"/>
          <w:sz w:val="28"/>
          <w:szCs w:val="26"/>
          <w:lang w:val="nl-NL"/>
        </w:rPr>
      </w:pPr>
    </w:p>
    <w:p w:rsidR="00CB4E42" w:rsidRPr="003F34A2" w:rsidRDefault="00CB4E42" w:rsidP="00CB4E42">
      <w:pPr>
        <w:spacing w:before="120" w:line="257" w:lineRule="auto"/>
        <w:rPr>
          <w:rFonts w:ascii="Times New Roman" w:hAnsi="Times New Roman" w:cs="Times New Roman"/>
          <w:color w:val="auto"/>
          <w:sz w:val="26"/>
          <w:szCs w:val="26"/>
          <w:lang w:val="nl-NL"/>
        </w:rPr>
      </w:pPr>
    </w:p>
    <w:p w:rsidR="00CB4E42" w:rsidRPr="003F34A2" w:rsidRDefault="00CB4E42" w:rsidP="00CB4E42">
      <w:pPr>
        <w:spacing w:before="120" w:line="257" w:lineRule="auto"/>
        <w:rPr>
          <w:rFonts w:ascii="Times New Roman" w:hAnsi="Times New Roman" w:cs="Times New Roman"/>
          <w:color w:val="auto"/>
          <w:sz w:val="26"/>
          <w:szCs w:val="26"/>
          <w:lang w:val="nl-NL"/>
        </w:rPr>
      </w:pPr>
    </w:p>
    <w:p w:rsidR="00CB4E42" w:rsidRPr="003F34A2" w:rsidRDefault="00CB4E42" w:rsidP="00CB4E42">
      <w:pPr>
        <w:spacing w:before="120" w:line="257" w:lineRule="auto"/>
        <w:rPr>
          <w:rFonts w:ascii="Times New Roman" w:hAnsi="Times New Roman" w:cs="Times New Roman"/>
          <w:color w:val="auto"/>
          <w:sz w:val="26"/>
          <w:szCs w:val="26"/>
          <w:lang w:val="nl-NL"/>
        </w:rPr>
      </w:pPr>
    </w:p>
    <w:p w:rsidR="00CB4E42" w:rsidRPr="003F34A2" w:rsidRDefault="00CB4E42" w:rsidP="00CB4E42">
      <w:pPr>
        <w:spacing w:before="120" w:line="257" w:lineRule="auto"/>
        <w:rPr>
          <w:rFonts w:ascii="Times New Roman" w:hAnsi="Times New Roman" w:cs="Times New Roman"/>
          <w:color w:val="auto"/>
          <w:sz w:val="26"/>
          <w:szCs w:val="26"/>
          <w:lang w:val="nl-NL"/>
        </w:rPr>
      </w:pPr>
    </w:p>
    <w:p w:rsidR="00CB4E42" w:rsidRPr="003F34A2" w:rsidRDefault="00CB4E42" w:rsidP="00CB4E42">
      <w:pPr>
        <w:spacing w:before="120" w:line="257" w:lineRule="auto"/>
        <w:rPr>
          <w:rFonts w:ascii="Times New Roman" w:hAnsi="Times New Roman" w:cs="Times New Roman"/>
          <w:color w:val="auto"/>
          <w:sz w:val="26"/>
          <w:szCs w:val="26"/>
          <w:lang w:val="nl-NL"/>
        </w:rPr>
      </w:pPr>
    </w:p>
    <w:p w:rsidR="00CB4E42" w:rsidRPr="003F34A2" w:rsidRDefault="00CB4E42" w:rsidP="00CB4E42">
      <w:pPr>
        <w:spacing w:before="120" w:line="257" w:lineRule="auto"/>
        <w:rPr>
          <w:rFonts w:ascii="Times New Roman" w:hAnsi="Times New Roman" w:cs="Times New Roman"/>
          <w:color w:val="auto"/>
          <w:sz w:val="26"/>
          <w:szCs w:val="26"/>
          <w:lang w:val="nl-NL"/>
        </w:rPr>
      </w:pPr>
    </w:p>
    <w:p w:rsidR="00CB4E42" w:rsidRPr="003F34A2" w:rsidRDefault="00CB4E42" w:rsidP="00CB4E42">
      <w:pPr>
        <w:spacing w:before="120" w:line="257" w:lineRule="auto"/>
        <w:rPr>
          <w:rFonts w:ascii="Times New Roman" w:hAnsi="Times New Roman" w:cs="Times New Roman"/>
          <w:color w:val="auto"/>
          <w:sz w:val="26"/>
          <w:szCs w:val="26"/>
          <w:lang w:val="nl-NL"/>
        </w:rPr>
      </w:pPr>
    </w:p>
    <w:p w:rsidR="00CB4E42" w:rsidRPr="003F34A2" w:rsidRDefault="00CB4E42" w:rsidP="00CB4E42">
      <w:pPr>
        <w:spacing w:before="120" w:line="257" w:lineRule="auto"/>
        <w:rPr>
          <w:rFonts w:ascii="Times New Roman" w:hAnsi="Times New Roman" w:cs="Times New Roman"/>
          <w:color w:val="auto"/>
          <w:sz w:val="26"/>
          <w:szCs w:val="26"/>
          <w:lang w:val="nl-NL"/>
        </w:rPr>
      </w:pPr>
    </w:p>
    <w:p w:rsidR="00CB4E42" w:rsidRPr="003F34A2" w:rsidRDefault="00CB4E42" w:rsidP="00CB4E42">
      <w:pPr>
        <w:widowControl/>
        <w:spacing w:after="160" w:line="259" w:lineRule="auto"/>
        <w:rPr>
          <w:rFonts w:ascii="Times New Roman" w:hAnsi="Times New Roman" w:cs="Times New Roman"/>
          <w:color w:val="auto"/>
          <w:sz w:val="26"/>
          <w:szCs w:val="26"/>
          <w:lang w:val="nl-NL"/>
        </w:rPr>
      </w:pPr>
      <w:r w:rsidRPr="003F34A2">
        <w:rPr>
          <w:rFonts w:ascii="Times New Roman" w:hAnsi="Times New Roman" w:cs="Times New Roman"/>
          <w:color w:val="auto"/>
          <w:sz w:val="26"/>
          <w:szCs w:val="26"/>
          <w:lang w:val="nl-NL"/>
        </w:rPr>
        <w:br w:type="page"/>
      </w:r>
    </w:p>
    <w:p w:rsidR="00CB4E42" w:rsidRPr="003F34A2" w:rsidRDefault="00CB4E42" w:rsidP="00CB4E42">
      <w:pPr>
        <w:spacing w:before="120" w:line="257" w:lineRule="auto"/>
        <w:rPr>
          <w:rFonts w:ascii="Times New Roman" w:hAnsi="Times New Roman" w:cs="Times New Roman"/>
          <w:color w:val="auto"/>
          <w:sz w:val="26"/>
          <w:szCs w:val="26"/>
          <w:lang w:val="nl-NL"/>
        </w:rPr>
      </w:pPr>
      <w:r w:rsidRPr="003F34A2">
        <w:rPr>
          <w:rFonts w:ascii="Times New Roman" w:hAnsi="Times New Roman" w:cs="Times New Roman"/>
          <w:color w:val="auto"/>
          <w:sz w:val="26"/>
          <w:szCs w:val="26"/>
          <w:lang w:val="nl-NL"/>
        </w:rPr>
        <w:lastRenderedPageBreak/>
        <w:tab/>
      </w:r>
      <w:r w:rsidRPr="003F34A2">
        <w:rPr>
          <w:rFonts w:ascii="Times New Roman" w:hAnsi="Times New Roman" w:cs="Times New Roman"/>
          <w:color w:val="auto"/>
          <w:sz w:val="26"/>
          <w:szCs w:val="26"/>
          <w:lang w:val="nl-NL"/>
        </w:rPr>
        <w:tab/>
      </w:r>
      <w:r w:rsidRPr="003F34A2">
        <w:rPr>
          <w:rFonts w:ascii="Times New Roman" w:hAnsi="Times New Roman" w:cs="Times New Roman"/>
          <w:color w:val="auto"/>
          <w:sz w:val="26"/>
          <w:szCs w:val="26"/>
          <w:lang w:val="nl-NL"/>
        </w:rPr>
        <w:tab/>
      </w:r>
      <w:r w:rsidRPr="003F34A2">
        <w:rPr>
          <w:rFonts w:ascii="Times New Roman" w:hAnsi="Times New Roman" w:cs="Times New Roman"/>
          <w:color w:val="auto"/>
          <w:sz w:val="26"/>
          <w:szCs w:val="26"/>
          <w:lang w:val="nl-NL"/>
        </w:rPr>
        <w:tab/>
      </w:r>
    </w:p>
    <w:tbl>
      <w:tblPr>
        <w:tblW w:w="9691" w:type="dxa"/>
        <w:tblInd w:w="-265" w:type="dxa"/>
        <w:tblLook w:val="04A0" w:firstRow="1" w:lastRow="0" w:firstColumn="1" w:lastColumn="0" w:noHBand="0" w:noVBand="1"/>
      </w:tblPr>
      <w:tblGrid>
        <w:gridCol w:w="746"/>
        <w:gridCol w:w="2443"/>
        <w:gridCol w:w="4306"/>
        <w:gridCol w:w="2187"/>
        <w:gridCol w:w="9"/>
      </w:tblGrid>
      <w:tr w:rsidR="003F34A2" w:rsidRPr="003F34A2" w:rsidTr="00E522F5">
        <w:trPr>
          <w:trHeight w:val="440"/>
        </w:trPr>
        <w:tc>
          <w:tcPr>
            <w:tcW w:w="9691" w:type="dxa"/>
            <w:gridSpan w:val="5"/>
            <w:vMerge w:val="restart"/>
            <w:tcBorders>
              <w:top w:val="nil"/>
              <w:left w:val="nil"/>
              <w:bottom w:val="single" w:sz="4" w:space="0" w:color="000000"/>
              <w:right w:val="nil"/>
            </w:tcBorders>
            <w:shd w:val="clear" w:color="auto" w:fill="auto"/>
            <w:vAlign w:val="bottom"/>
            <w:hideMark/>
          </w:tcPr>
          <w:p w:rsidR="00CB4E42" w:rsidRPr="003F34A2" w:rsidRDefault="00CB4E42" w:rsidP="00E522F5">
            <w:pPr>
              <w:spacing w:before="120" w:line="257" w:lineRule="auto"/>
              <w:jc w:val="center"/>
              <w:rPr>
                <w:rFonts w:ascii="Times New Roman" w:hAnsi="Times New Roman" w:cs="Times New Roman"/>
                <w:bCs/>
                <w:color w:val="auto"/>
                <w:sz w:val="26"/>
                <w:szCs w:val="26"/>
                <w:lang w:val="en-US"/>
              </w:rPr>
            </w:pPr>
            <w:r w:rsidRPr="003F34A2">
              <w:rPr>
                <w:rFonts w:ascii="Times New Roman" w:hAnsi="Times New Roman" w:cs="Times New Roman"/>
                <w:b/>
                <w:bCs/>
                <w:i/>
                <w:color w:val="auto"/>
                <w:sz w:val="30"/>
                <w:szCs w:val="30"/>
              </w:rPr>
              <w:t>Phụ lục</w:t>
            </w:r>
            <w:r w:rsidRPr="003F34A2">
              <w:rPr>
                <w:rFonts w:ascii="Times New Roman" w:hAnsi="Times New Roman" w:cs="Times New Roman"/>
                <w:b/>
                <w:bCs/>
                <w:color w:val="auto"/>
                <w:sz w:val="30"/>
                <w:szCs w:val="30"/>
              </w:rPr>
              <w:t>: Danh mục Hợp đồng mua bán vật tư/ Hợp đồng giao thầu; Hợp đồng vay/cho vay đối với các Công ty con, người có liên quan thực hiện trong năm 201</w:t>
            </w:r>
            <w:r w:rsidRPr="003F34A2">
              <w:rPr>
                <w:rFonts w:ascii="Times New Roman" w:hAnsi="Times New Roman" w:cs="Times New Roman"/>
                <w:b/>
                <w:bCs/>
                <w:color w:val="auto"/>
                <w:sz w:val="30"/>
                <w:szCs w:val="30"/>
                <w:lang w:val="en-US"/>
              </w:rPr>
              <w:t>9</w:t>
            </w:r>
            <w:r w:rsidRPr="003F34A2">
              <w:rPr>
                <w:rFonts w:ascii="Times New Roman" w:hAnsi="Times New Roman" w:cs="Times New Roman"/>
                <w:bCs/>
                <w:color w:val="auto"/>
                <w:sz w:val="26"/>
                <w:szCs w:val="26"/>
              </w:rPr>
              <w:t xml:space="preserve"> </w:t>
            </w:r>
            <w:r w:rsidRPr="003F34A2">
              <w:rPr>
                <w:rFonts w:ascii="Times New Roman" w:hAnsi="Times New Roman" w:cs="Times New Roman"/>
                <w:bCs/>
                <w:color w:val="auto"/>
                <w:sz w:val="26"/>
                <w:szCs w:val="26"/>
                <w:lang w:val="en-US"/>
              </w:rPr>
              <w:t xml:space="preserve">                              </w:t>
            </w:r>
          </w:p>
          <w:p w:rsidR="00CB4E42" w:rsidRPr="003F34A2" w:rsidRDefault="00CB4E42" w:rsidP="00E522F5">
            <w:pPr>
              <w:spacing w:before="120" w:line="257" w:lineRule="auto"/>
              <w:jc w:val="center"/>
              <w:rPr>
                <w:rFonts w:ascii="Times New Roman" w:hAnsi="Times New Roman" w:cs="Times New Roman"/>
                <w:bCs/>
                <w:i/>
                <w:color w:val="auto"/>
                <w:sz w:val="28"/>
                <w:szCs w:val="26"/>
              </w:rPr>
            </w:pPr>
            <w:r w:rsidRPr="003F34A2">
              <w:rPr>
                <w:rFonts w:ascii="Times New Roman" w:hAnsi="Times New Roman" w:cs="Times New Roman"/>
                <w:bCs/>
                <w:i/>
                <w:color w:val="auto"/>
                <w:sz w:val="28"/>
                <w:szCs w:val="26"/>
              </w:rPr>
              <w:t>(Theo qui định tại Thông tư số 155/2015/TT-BTC ngày 06/10/2015 về việc công bố thông tin trên TTCK)</w:t>
            </w:r>
          </w:p>
          <w:p w:rsidR="00CB4E42" w:rsidRPr="003F34A2" w:rsidRDefault="00CB4E42" w:rsidP="00E522F5">
            <w:pPr>
              <w:spacing w:before="120" w:line="257" w:lineRule="auto"/>
              <w:jc w:val="center"/>
              <w:rPr>
                <w:rFonts w:ascii="Times New Roman" w:hAnsi="Times New Roman" w:cs="Times New Roman"/>
                <w:bCs/>
                <w:color w:val="auto"/>
                <w:sz w:val="26"/>
                <w:szCs w:val="26"/>
              </w:rPr>
            </w:pPr>
          </w:p>
        </w:tc>
      </w:tr>
      <w:tr w:rsidR="003F34A2" w:rsidRPr="003F34A2" w:rsidTr="00E522F5">
        <w:trPr>
          <w:trHeight w:val="465"/>
        </w:trPr>
        <w:tc>
          <w:tcPr>
            <w:tcW w:w="9691" w:type="dxa"/>
            <w:gridSpan w:val="5"/>
            <w:vMerge/>
            <w:tcBorders>
              <w:top w:val="nil"/>
              <w:left w:val="nil"/>
              <w:bottom w:val="single" w:sz="4" w:space="0" w:color="000000"/>
              <w:right w:val="nil"/>
            </w:tcBorders>
            <w:vAlign w:val="center"/>
            <w:hideMark/>
          </w:tcPr>
          <w:p w:rsidR="00CB4E42" w:rsidRPr="003F34A2" w:rsidRDefault="00CB4E42" w:rsidP="00E522F5">
            <w:pPr>
              <w:spacing w:before="120" w:line="257" w:lineRule="auto"/>
              <w:rPr>
                <w:rFonts w:ascii="Times New Roman" w:hAnsi="Times New Roman" w:cs="Times New Roman"/>
                <w:bCs/>
                <w:color w:val="auto"/>
                <w:sz w:val="26"/>
                <w:szCs w:val="26"/>
              </w:rPr>
            </w:pPr>
          </w:p>
        </w:tc>
      </w:tr>
      <w:tr w:rsidR="003F34A2" w:rsidRPr="003F34A2" w:rsidTr="00E522F5">
        <w:trPr>
          <w:gridAfter w:val="1"/>
          <w:wAfter w:w="9" w:type="dxa"/>
          <w:trHeight w:val="345"/>
        </w:trPr>
        <w:tc>
          <w:tcPr>
            <w:tcW w:w="7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b/>
                <w:bCs/>
                <w:color w:val="auto"/>
                <w:sz w:val="28"/>
                <w:szCs w:val="28"/>
              </w:rPr>
            </w:pPr>
            <w:r w:rsidRPr="003F34A2">
              <w:rPr>
                <w:rFonts w:ascii="Times New Roman" w:hAnsi="Times New Roman" w:cs="Times New Roman"/>
                <w:b/>
                <w:bCs/>
                <w:color w:val="auto"/>
                <w:sz w:val="28"/>
                <w:szCs w:val="28"/>
              </w:rPr>
              <w:t>STT</w:t>
            </w:r>
          </w:p>
        </w:tc>
        <w:tc>
          <w:tcPr>
            <w:tcW w:w="2443" w:type="dxa"/>
            <w:vMerge w:val="restart"/>
            <w:tcBorders>
              <w:top w:val="nil"/>
              <w:left w:val="single" w:sz="4" w:space="0" w:color="auto"/>
              <w:bottom w:val="single" w:sz="4" w:space="0" w:color="000000"/>
              <w:right w:val="single" w:sz="4" w:space="0" w:color="auto"/>
            </w:tcBorders>
            <w:shd w:val="clear" w:color="auto" w:fill="auto"/>
            <w:vAlign w:val="center"/>
            <w:hideMark/>
          </w:tcPr>
          <w:p w:rsidR="00CB4E42" w:rsidRPr="003F34A2" w:rsidRDefault="00CB4E42" w:rsidP="00E522F5">
            <w:pPr>
              <w:spacing w:before="120" w:line="257" w:lineRule="auto"/>
              <w:jc w:val="center"/>
              <w:rPr>
                <w:rFonts w:ascii="Times New Roman" w:hAnsi="Times New Roman" w:cs="Times New Roman"/>
                <w:b/>
                <w:bCs/>
                <w:color w:val="auto"/>
                <w:sz w:val="28"/>
                <w:szCs w:val="28"/>
              </w:rPr>
            </w:pPr>
            <w:r w:rsidRPr="003F34A2">
              <w:rPr>
                <w:rFonts w:ascii="Times New Roman" w:hAnsi="Times New Roman" w:cs="Times New Roman"/>
                <w:b/>
                <w:bCs/>
                <w:color w:val="auto"/>
                <w:sz w:val="28"/>
                <w:szCs w:val="28"/>
              </w:rPr>
              <w:t>Tên công ty/ đối tượng có liên quan</w:t>
            </w:r>
          </w:p>
        </w:tc>
        <w:tc>
          <w:tcPr>
            <w:tcW w:w="43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b/>
                <w:bCs/>
                <w:color w:val="auto"/>
                <w:sz w:val="28"/>
                <w:szCs w:val="28"/>
              </w:rPr>
            </w:pPr>
            <w:r w:rsidRPr="003F34A2">
              <w:rPr>
                <w:rFonts w:ascii="Times New Roman" w:hAnsi="Times New Roman" w:cs="Times New Roman"/>
                <w:b/>
                <w:bCs/>
                <w:color w:val="auto"/>
                <w:sz w:val="28"/>
                <w:szCs w:val="28"/>
              </w:rPr>
              <w:t>Tên hợp đồng</w:t>
            </w:r>
          </w:p>
        </w:tc>
        <w:tc>
          <w:tcPr>
            <w:tcW w:w="2187" w:type="dxa"/>
            <w:vMerge w:val="restart"/>
            <w:tcBorders>
              <w:top w:val="nil"/>
              <w:left w:val="single" w:sz="4" w:space="0" w:color="auto"/>
              <w:bottom w:val="single" w:sz="4" w:space="0" w:color="000000"/>
              <w:right w:val="single" w:sz="4" w:space="0" w:color="auto"/>
            </w:tcBorders>
            <w:shd w:val="clear" w:color="auto" w:fill="auto"/>
            <w:vAlign w:val="center"/>
            <w:hideMark/>
          </w:tcPr>
          <w:p w:rsidR="00CB4E42" w:rsidRPr="003F34A2" w:rsidRDefault="00CB4E42" w:rsidP="00E522F5">
            <w:pPr>
              <w:spacing w:before="120" w:line="257" w:lineRule="auto"/>
              <w:jc w:val="center"/>
              <w:rPr>
                <w:rFonts w:ascii="Times New Roman" w:hAnsi="Times New Roman" w:cs="Times New Roman"/>
                <w:b/>
                <w:bCs/>
                <w:color w:val="auto"/>
                <w:sz w:val="28"/>
                <w:szCs w:val="28"/>
              </w:rPr>
            </w:pPr>
            <w:r w:rsidRPr="003F34A2">
              <w:rPr>
                <w:rFonts w:ascii="Times New Roman" w:hAnsi="Times New Roman" w:cs="Times New Roman"/>
                <w:b/>
                <w:bCs/>
                <w:color w:val="auto"/>
                <w:sz w:val="28"/>
                <w:szCs w:val="28"/>
              </w:rPr>
              <w:t>Giá trị              hợp đồng</w:t>
            </w:r>
            <w:r w:rsidRPr="003F34A2">
              <w:rPr>
                <w:rFonts w:ascii="Times New Roman" w:hAnsi="Times New Roman" w:cs="Times New Roman"/>
                <w:b/>
                <w:bCs/>
                <w:color w:val="auto"/>
                <w:sz w:val="28"/>
                <w:szCs w:val="28"/>
                <w:lang w:val="en-US"/>
              </w:rPr>
              <w:t xml:space="preserve"> (đồng)</w:t>
            </w:r>
            <w:r w:rsidRPr="003F34A2">
              <w:rPr>
                <w:rFonts w:ascii="Times New Roman" w:hAnsi="Times New Roman" w:cs="Times New Roman"/>
                <w:b/>
                <w:bCs/>
                <w:color w:val="auto"/>
                <w:sz w:val="28"/>
                <w:szCs w:val="28"/>
              </w:rPr>
              <w:t xml:space="preserve">              (Bao gồm VAT)</w:t>
            </w:r>
          </w:p>
        </w:tc>
      </w:tr>
      <w:tr w:rsidR="003F34A2" w:rsidRPr="003F34A2" w:rsidTr="00E522F5">
        <w:trPr>
          <w:gridAfter w:val="1"/>
          <w:wAfter w:w="9" w:type="dxa"/>
          <w:trHeight w:val="440"/>
        </w:trPr>
        <w:tc>
          <w:tcPr>
            <w:tcW w:w="746" w:type="dxa"/>
            <w:vMerge/>
            <w:tcBorders>
              <w:top w:val="nil"/>
              <w:left w:val="single" w:sz="4" w:space="0" w:color="auto"/>
              <w:bottom w:val="single" w:sz="4" w:space="0" w:color="000000"/>
              <w:right w:val="single" w:sz="4" w:space="0" w:color="auto"/>
            </w:tcBorders>
            <w:vAlign w:val="center"/>
            <w:hideMark/>
          </w:tcPr>
          <w:p w:rsidR="00CB4E42" w:rsidRPr="003F34A2" w:rsidRDefault="00CB4E42" w:rsidP="00E522F5">
            <w:pPr>
              <w:spacing w:before="120" w:line="257" w:lineRule="auto"/>
              <w:rPr>
                <w:rFonts w:ascii="Times New Roman" w:hAnsi="Times New Roman" w:cs="Times New Roman"/>
                <w:bCs/>
                <w:color w:val="auto"/>
                <w:sz w:val="26"/>
                <w:szCs w:val="26"/>
              </w:rPr>
            </w:pPr>
          </w:p>
        </w:tc>
        <w:tc>
          <w:tcPr>
            <w:tcW w:w="2443" w:type="dxa"/>
            <w:vMerge/>
            <w:tcBorders>
              <w:top w:val="nil"/>
              <w:left w:val="single" w:sz="4" w:space="0" w:color="auto"/>
              <w:bottom w:val="single" w:sz="4" w:space="0" w:color="000000"/>
              <w:right w:val="single" w:sz="4" w:space="0" w:color="auto"/>
            </w:tcBorders>
            <w:vAlign w:val="center"/>
            <w:hideMark/>
          </w:tcPr>
          <w:p w:rsidR="00CB4E42" w:rsidRPr="003F34A2" w:rsidRDefault="00CB4E42" w:rsidP="00E522F5">
            <w:pPr>
              <w:spacing w:before="120" w:line="257" w:lineRule="auto"/>
              <w:rPr>
                <w:rFonts w:ascii="Times New Roman" w:hAnsi="Times New Roman" w:cs="Times New Roman"/>
                <w:bCs/>
                <w:color w:val="auto"/>
                <w:sz w:val="26"/>
                <w:szCs w:val="26"/>
              </w:rPr>
            </w:pPr>
          </w:p>
        </w:tc>
        <w:tc>
          <w:tcPr>
            <w:tcW w:w="4306" w:type="dxa"/>
            <w:vMerge/>
            <w:tcBorders>
              <w:top w:val="nil"/>
              <w:left w:val="single" w:sz="4" w:space="0" w:color="auto"/>
              <w:bottom w:val="single" w:sz="4" w:space="0" w:color="000000"/>
              <w:right w:val="single" w:sz="4" w:space="0" w:color="auto"/>
            </w:tcBorders>
            <w:vAlign w:val="center"/>
            <w:hideMark/>
          </w:tcPr>
          <w:p w:rsidR="00CB4E42" w:rsidRPr="003F34A2" w:rsidRDefault="00CB4E42" w:rsidP="00E522F5">
            <w:pPr>
              <w:spacing w:before="120" w:line="257" w:lineRule="auto"/>
              <w:rPr>
                <w:rFonts w:ascii="Times New Roman" w:hAnsi="Times New Roman" w:cs="Times New Roman"/>
                <w:bCs/>
                <w:color w:val="auto"/>
                <w:sz w:val="26"/>
                <w:szCs w:val="26"/>
              </w:rPr>
            </w:pPr>
          </w:p>
        </w:tc>
        <w:tc>
          <w:tcPr>
            <w:tcW w:w="2187" w:type="dxa"/>
            <w:vMerge/>
            <w:tcBorders>
              <w:top w:val="nil"/>
              <w:left w:val="single" w:sz="4" w:space="0" w:color="auto"/>
              <w:bottom w:val="single" w:sz="4" w:space="0" w:color="000000"/>
              <w:right w:val="single" w:sz="4" w:space="0" w:color="auto"/>
            </w:tcBorders>
            <w:vAlign w:val="center"/>
            <w:hideMark/>
          </w:tcPr>
          <w:p w:rsidR="00CB4E42" w:rsidRPr="003F34A2" w:rsidRDefault="00CB4E42" w:rsidP="00E522F5">
            <w:pPr>
              <w:spacing w:before="120" w:line="257" w:lineRule="auto"/>
              <w:rPr>
                <w:rFonts w:ascii="Times New Roman" w:hAnsi="Times New Roman" w:cs="Times New Roman"/>
                <w:bCs/>
                <w:color w:val="auto"/>
                <w:sz w:val="26"/>
                <w:szCs w:val="26"/>
              </w:rPr>
            </w:pPr>
          </w:p>
        </w:tc>
      </w:tr>
      <w:tr w:rsidR="003F34A2" w:rsidRPr="003F34A2" w:rsidTr="00E522F5">
        <w:trPr>
          <w:gridAfter w:val="1"/>
          <w:wAfter w:w="9" w:type="dxa"/>
          <w:trHeight w:val="253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1</w:t>
            </w:r>
          </w:p>
        </w:tc>
        <w:tc>
          <w:tcPr>
            <w:tcW w:w="2443"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 xml:space="preserve">Công ty Cổ phần Quốc </w:t>
            </w:r>
            <w:r w:rsidRPr="003F34A2">
              <w:rPr>
                <w:rFonts w:ascii="Times New Roman" w:hAnsi="Times New Roman" w:cs="Times New Roman"/>
                <w:color w:val="auto"/>
                <w:sz w:val="28"/>
                <w:szCs w:val="28"/>
                <w:lang w:val="en-US"/>
              </w:rPr>
              <w:t>t</w:t>
            </w:r>
            <w:r w:rsidRPr="003F34A2">
              <w:rPr>
                <w:rFonts w:ascii="Times New Roman" w:hAnsi="Times New Roman" w:cs="Times New Roman"/>
                <w:color w:val="auto"/>
                <w:sz w:val="28"/>
                <w:szCs w:val="28"/>
              </w:rPr>
              <w:t>ế CICOM và Công ty TNHH Công nghệ tích hợp hệ thống GCL</w:t>
            </w:r>
          </w:p>
        </w:tc>
        <w:tc>
          <w:tcPr>
            <w:tcW w:w="4306"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 xml:space="preserve">HĐ số: 01/EPC/LIG-CICOM-GCL ngày 29/09/2018 _HĐ thiết kế , cung cấp thiết bị công nghệ và thi công XD Nhà máy điện MT LIG - Quảng trị công suất 49.5MWP giữa chủ đầu tư Cty CP Licogi 13 </w:t>
            </w:r>
            <w:r w:rsidRPr="003F34A2">
              <w:rPr>
                <w:rFonts w:ascii="Times New Roman" w:hAnsi="Times New Roman" w:cs="Times New Roman"/>
                <w:color w:val="auto"/>
                <w:sz w:val="28"/>
                <w:szCs w:val="28"/>
                <w:lang w:val="en-US"/>
              </w:rPr>
              <w:t>với L</w:t>
            </w:r>
            <w:r w:rsidRPr="003F34A2">
              <w:rPr>
                <w:rFonts w:ascii="Times New Roman" w:hAnsi="Times New Roman" w:cs="Times New Roman"/>
                <w:color w:val="auto"/>
                <w:sz w:val="28"/>
                <w:szCs w:val="28"/>
              </w:rPr>
              <w:t>iên danh công ty CP quốc tế Cicom và c</w:t>
            </w:r>
            <w:r w:rsidRPr="003F34A2">
              <w:rPr>
                <w:rFonts w:ascii="Times New Roman" w:hAnsi="Times New Roman" w:cs="Times New Roman"/>
                <w:color w:val="auto"/>
                <w:sz w:val="28"/>
                <w:szCs w:val="28"/>
                <w:lang w:val="en-US"/>
              </w:rPr>
              <w:t xml:space="preserve">ông </w:t>
            </w:r>
            <w:r w:rsidRPr="003F34A2">
              <w:rPr>
                <w:rFonts w:ascii="Times New Roman" w:hAnsi="Times New Roman" w:cs="Times New Roman"/>
                <w:color w:val="auto"/>
                <w:sz w:val="28"/>
                <w:szCs w:val="28"/>
              </w:rPr>
              <w:t>ty TNHH công nghệ tích hợp hệ thống GCL</w:t>
            </w:r>
          </w:p>
        </w:tc>
        <w:tc>
          <w:tcPr>
            <w:tcW w:w="2187" w:type="dxa"/>
            <w:tcBorders>
              <w:top w:val="nil"/>
              <w:left w:val="nil"/>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 xml:space="preserve"> 255,198,587,905 </w:t>
            </w:r>
          </w:p>
        </w:tc>
      </w:tr>
      <w:tr w:rsidR="003F34A2" w:rsidRPr="003F34A2" w:rsidTr="00E522F5">
        <w:trPr>
          <w:gridAfter w:val="1"/>
          <w:wAfter w:w="9" w:type="dxa"/>
          <w:trHeight w:val="139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2</w:t>
            </w:r>
          </w:p>
        </w:tc>
        <w:tc>
          <w:tcPr>
            <w:tcW w:w="2443"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Công ty Cổ phần Licogi 13 - Cơ giới hạ tầng</w:t>
            </w:r>
          </w:p>
        </w:tc>
        <w:tc>
          <w:tcPr>
            <w:tcW w:w="4306"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HĐ số: 468/2018/HĐKT Thi công san lấp mặt bằng Nhà máy điện MT LIG - Quảng trị + Phụ lục hợp đồng số 01.</w:t>
            </w:r>
          </w:p>
        </w:tc>
        <w:tc>
          <w:tcPr>
            <w:tcW w:w="2187" w:type="dxa"/>
            <w:tcBorders>
              <w:top w:val="nil"/>
              <w:left w:val="nil"/>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 xml:space="preserve">   62,447,050,600 </w:t>
            </w:r>
          </w:p>
        </w:tc>
      </w:tr>
      <w:tr w:rsidR="003F34A2" w:rsidRPr="003F34A2" w:rsidTr="00E522F5">
        <w:trPr>
          <w:gridAfter w:val="1"/>
          <w:wAfter w:w="9" w:type="dxa"/>
          <w:trHeight w:val="15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3</w:t>
            </w:r>
          </w:p>
        </w:tc>
        <w:tc>
          <w:tcPr>
            <w:tcW w:w="2443"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Công ty Cổ phần Licogi 13 - ICI</w:t>
            </w:r>
          </w:p>
        </w:tc>
        <w:tc>
          <w:tcPr>
            <w:tcW w:w="4306"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HĐ số 89A/2018/HĐKT-LIG-ICI Dự án Đầu tư xây dựng cầu Rạch Miễu - Quốc lộ 60, tỉnh Tiền Giang - tỉnh Bến Tre theo hình thức HĐ BOT.</w:t>
            </w:r>
          </w:p>
        </w:tc>
        <w:tc>
          <w:tcPr>
            <w:tcW w:w="2187" w:type="dxa"/>
            <w:tcBorders>
              <w:top w:val="nil"/>
              <w:left w:val="nil"/>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 xml:space="preserve">   26,120,003,000 </w:t>
            </w:r>
          </w:p>
        </w:tc>
      </w:tr>
      <w:tr w:rsidR="003F34A2" w:rsidRPr="003F34A2" w:rsidTr="00E522F5">
        <w:trPr>
          <w:gridAfter w:val="1"/>
          <w:wAfter w:w="9" w:type="dxa"/>
          <w:trHeight w:val="10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4</w:t>
            </w:r>
          </w:p>
        </w:tc>
        <w:tc>
          <w:tcPr>
            <w:tcW w:w="2443"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Công ty Cổ phần Licogi 13 - Nền móng xây dựng</w:t>
            </w:r>
          </w:p>
        </w:tc>
        <w:tc>
          <w:tcPr>
            <w:tcW w:w="4306"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Hợp đồng ký năm 2017 thực hiện năm 2018 về việc mua thép</w:t>
            </w:r>
          </w:p>
        </w:tc>
        <w:tc>
          <w:tcPr>
            <w:tcW w:w="2187" w:type="dxa"/>
            <w:tcBorders>
              <w:top w:val="nil"/>
              <w:left w:val="nil"/>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 xml:space="preserve">   40,445,200,708 </w:t>
            </w:r>
          </w:p>
        </w:tc>
      </w:tr>
      <w:tr w:rsidR="003F34A2" w:rsidRPr="003F34A2" w:rsidTr="00E522F5">
        <w:trPr>
          <w:gridAfter w:val="1"/>
          <w:wAfter w:w="9" w:type="dxa"/>
          <w:trHeight w:val="117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5</w:t>
            </w:r>
          </w:p>
        </w:tc>
        <w:tc>
          <w:tcPr>
            <w:tcW w:w="2443"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Công ty Cổ phần Licogi 13 - Nền móng xây dựng</w:t>
            </w:r>
          </w:p>
        </w:tc>
        <w:tc>
          <w:tcPr>
            <w:tcW w:w="4306"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HĐ số 517/2018/HĐMT/LICOGI13FC-LICOGI13 về việc mua thép thời gian thực hiện từ 15/5/2018 đến 15/5/2019</w:t>
            </w:r>
          </w:p>
        </w:tc>
        <w:tc>
          <w:tcPr>
            <w:tcW w:w="2187" w:type="dxa"/>
            <w:tcBorders>
              <w:top w:val="nil"/>
              <w:left w:val="nil"/>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 xml:space="preserve">   68,833,562,864 </w:t>
            </w:r>
          </w:p>
        </w:tc>
      </w:tr>
      <w:tr w:rsidR="003F34A2" w:rsidRPr="003F34A2" w:rsidTr="00E522F5">
        <w:trPr>
          <w:gridAfter w:val="1"/>
          <w:wAfter w:w="9" w:type="dxa"/>
          <w:trHeight w:val="10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lastRenderedPageBreak/>
              <w:t>6</w:t>
            </w:r>
          </w:p>
        </w:tc>
        <w:tc>
          <w:tcPr>
            <w:tcW w:w="2443"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Công ty Cổ phần Địa ốc xanh sài Gòn Thuận Phước</w:t>
            </w:r>
          </w:p>
        </w:tc>
        <w:tc>
          <w:tcPr>
            <w:tcW w:w="4306"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Hợp đồng vay vốn giữa Công ty Licogi13 với Thuận Phước</w:t>
            </w:r>
          </w:p>
        </w:tc>
        <w:tc>
          <w:tcPr>
            <w:tcW w:w="2187" w:type="dxa"/>
            <w:tcBorders>
              <w:top w:val="nil"/>
              <w:left w:val="nil"/>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 xml:space="preserve">   39,725,000,000 </w:t>
            </w:r>
          </w:p>
        </w:tc>
      </w:tr>
      <w:tr w:rsidR="003F34A2" w:rsidRPr="003F34A2" w:rsidTr="00E522F5">
        <w:trPr>
          <w:gridAfter w:val="1"/>
          <w:wAfter w:w="9" w:type="dxa"/>
          <w:trHeight w:val="8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7</w:t>
            </w:r>
          </w:p>
        </w:tc>
        <w:tc>
          <w:tcPr>
            <w:tcW w:w="2443"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Công ty cổ phần Đầu tư nông nghiệp sài Gòn Thành Đạt</w:t>
            </w:r>
          </w:p>
        </w:tc>
        <w:tc>
          <w:tcPr>
            <w:tcW w:w="4306"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Hợp đồng vay vốn giữa Công ty Licogi13 với Thành Đạt</w:t>
            </w:r>
          </w:p>
        </w:tc>
        <w:tc>
          <w:tcPr>
            <w:tcW w:w="2187" w:type="dxa"/>
            <w:tcBorders>
              <w:top w:val="nil"/>
              <w:left w:val="nil"/>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 xml:space="preserve">   28,913,000,000 </w:t>
            </w:r>
          </w:p>
        </w:tc>
      </w:tr>
      <w:tr w:rsidR="003F34A2" w:rsidRPr="003F34A2" w:rsidTr="00E522F5">
        <w:trPr>
          <w:gridAfter w:val="1"/>
          <w:wAfter w:w="9" w:type="dxa"/>
          <w:trHeight w:val="8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8</w:t>
            </w:r>
          </w:p>
        </w:tc>
        <w:tc>
          <w:tcPr>
            <w:tcW w:w="2443"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Công ty Cổ phần Licogi 13 - Nền móng xây dựng</w:t>
            </w:r>
          </w:p>
        </w:tc>
        <w:tc>
          <w:tcPr>
            <w:tcW w:w="4306" w:type="dxa"/>
            <w:tcBorders>
              <w:top w:val="nil"/>
              <w:left w:val="nil"/>
              <w:bottom w:val="single" w:sz="4" w:space="0" w:color="auto"/>
              <w:right w:val="single" w:sz="4" w:space="0" w:color="auto"/>
            </w:tcBorders>
            <w:shd w:val="clear" w:color="auto" w:fill="auto"/>
            <w:vAlign w:val="center"/>
            <w:hideMark/>
          </w:tcPr>
          <w:p w:rsidR="00CB4E42" w:rsidRPr="003F34A2" w:rsidRDefault="00CB4E42" w:rsidP="00E522F5">
            <w:pPr>
              <w:spacing w:before="120" w:line="257" w:lineRule="auto"/>
              <w:rPr>
                <w:rFonts w:ascii="Times New Roman" w:hAnsi="Times New Roman" w:cs="Times New Roman"/>
                <w:color w:val="auto"/>
                <w:sz w:val="28"/>
                <w:szCs w:val="28"/>
              </w:rPr>
            </w:pPr>
            <w:r w:rsidRPr="003F34A2">
              <w:rPr>
                <w:rFonts w:ascii="Times New Roman" w:hAnsi="Times New Roman" w:cs="Times New Roman"/>
                <w:color w:val="auto"/>
                <w:sz w:val="28"/>
                <w:szCs w:val="28"/>
              </w:rPr>
              <w:t>Hợp đồng vay vốn giữa Công ty Licogi13 với Licogi13 - FC</w:t>
            </w:r>
          </w:p>
        </w:tc>
        <w:tc>
          <w:tcPr>
            <w:tcW w:w="2187" w:type="dxa"/>
            <w:tcBorders>
              <w:top w:val="nil"/>
              <w:left w:val="nil"/>
              <w:bottom w:val="single" w:sz="4" w:space="0" w:color="auto"/>
              <w:right w:val="single" w:sz="4" w:space="0" w:color="auto"/>
            </w:tcBorders>
            <w:shd w:val="clear" w:color="auto" w:fill="auto"/>
            <w:noWrap/>
            <w:vAlign w:val="center"/>
            <w:hideMark/>
          </w:tcPr>
          <w:p w:rsidR="00CB4E42" w:rsidRPr="003F34A2" w:rsidRDefault="00CB4E42" w:rsidP="00E522F5">
            <w:pPr>
              <w:spacing w:before="120" w:line="257" w:lineRule="auto"/>
              <w:jc w:val="center"/>
              <w:rPr>
                <w:rFonts w:ascii="Times New Roman" w:hAnsi="Times New Roman" w:cs="Times New Roman"/>
                <w:color w:val="auto"/>
                <w:sz w:val="28"/>
                <w:szCs w:val="28"/>
              </w:rPr>
            </w:pPr>
            <w:r w:rsidRPr="003F34A2">
              <w:rPr>
                <w:rFonts w:ascii="Times New Roman" w:hAnsi="Times New Roman" w:cs="Times New Roman"/>
                <w:color w:val="auto"/>
                <w:sz w:val="28"/>
                <w:szCs w:val="28"/>
              </w:rPr>
              <w:t xml:space="preserve">   26,000,000,000 </w:t>
            </w:r>
          </w:p>
        </w:tc>
      </w:tr>
    </w:tbl>
    <w:p w:rsidR="00CB4E42" w:rsidRPr="003F34A2" w:rsidRDefault="00CB4E42" w:rsidP="00CB4E42">
      <w:pPr>
        <w:spacing w:before="120" w:after="20" w:line="257" w:lineRule="auto"/>
        <w:jc w:val="center"/>
        <w:rPr>
          <w:rFonts w:ascii="Times New Roman" w:hAnsi="Times New Roman" w:cs="Times New Roman"/>
          <w:color w:val="auto"/>
          <w:sz w:val="26"/>
          <w:szCs w:val="26"/>
          <w:lang w:val="en-US"/>
        </w:rPr>
      </w:pPr>
    </w:p>
    <w:p w:rsidR="00CB4E42" w:rsidRPr="003F34A2" w:rsidRDefault="00CB4E42" w:rsidP="00CB4E42">
      <w:pPr>
        <w:spacing w:before="120" w:after="20" w:line="257" w:lineRule="auto"/>
        <w:jc w:val="center"/>
        <w:rPr>
          <w:rFonts w:ascii="Times New Roman" w:hAnsi="Times New Roman" w:cs="Times New Roman"/>
          <w:color w:val="auto"/>
          <w:sz w:val="26"/>
          <w:szCs w:val="26"/>
          <w:lang w:val="en-US"/>
        </w:rPr>
      </w:pPr>
    </w:p>
    <w:p w:rsidR="00CB4E42" w:rsidRPr="003F34A2" w:rsidRDefault="00CB4E42" w:rsidP="00CB4E42">
      <w:pPr>
        <w:spacing w:before="120" w:after="20" w:line="257" w:lineRule="auto"/>
        <w:jc w:val="center"/>
        <w:rPr>
          <w:rFonts w:ascii="Times New Roman" w:hAnsi="Times New Roman" w:cs="Times New Roman"/>
          <w:color w:val="auto"/>
          <w:sz w:val="26"/>
          <w:szCs w:val="26"/>
          <w:lang w:val="en-US"/>
        </w:rPr>
      </w:pPr>
    </w:p>
    <w:p w:rsidR="00CB4E42" w:rsidRPr="003F34A2" w:rsidRDefault="00CB4E42" w:rsidP="00CB4E42">
      <w:pPr>
        <w:spacing w:before="120" w:after="20" w:line="257" w:lineRule="auto"/>
        <w:jc w:val="center"/>
        <w:rPr>
          <w:rFonts w:ascii="Times New Roman" w:hAnsi="Times New Roman" w:cs="Times New Roman"/>
          <w:color w:val="auto"/>
          <w:sz w:val="26"/>
          <w:szCs w:val="26"/>
          <w:lang w:val="en-US"/>
        </w:rPr>
      </w:pPr>
    </w:p>
    <w:p w:rsidR="00CB4E42" w:rsidRPr="003F34A2" w:rsidRDefault="00CB4E42" w:rsidP="00CB4E42">
      <w:pPr>
        <w:spacing w:before="120" w:after="20" w:line="257" w:lineRule="auto"/>
        <w:jc w:val="center"/>
        <w:rPr>
          <w:rFonts w:ascii="Times New Roman" w:hAnsi="Times New Roman" w:cs="Times New Roman"/>
          <w:color w:val="auto"/>
          <w:sz w:val="26"/>
          <w:szCs w:val="26"/>
          <w:lang w:val="en-US"/>
        </w:rPr>
      </w:pPr>
    </w:p>
    <w:p w:rsidR="00CB4E42" w:rsidRPr="003F34A2" w:rsidRDefault="00CB4E42" w:rsidP="00CB4E42">
      <w:pPr>
        <w:spacing w:before="120" w:line="257" w:lineRule="auto"/>
        <w:rPr>
          <w:rFonts w:ascii="Times New Roman" w:hAnsi="Times New Roman" w:cs="Times New Roman"/>
          <w:color w:val="auto"/>
          <w:sz w:val="26"/>
          <w:szCs w:val="26"/>
        </w:rPr>
      </w:pPr>
    </w:p>
    <w:p w:rsidR="00CB4E42" w:rsidRPr="003F34A2" w:rsidRDefault="00CB4E42" w:rsidP="00CB4E42">
      <w:pPr>
        <w:spacing w:before="120" w:line="257" w:lineRule="auto"/>
        <w:rPr>
          <w:rFonts w:ascii="Times New Roman" w:hAnsi="Times New Roman" w:cs="Times New Roman"/>
          <w:color w:val="auto"/>
          <w:sz w:val="26"/>
          <w:szCs w:val="26"/>
        </w:rPr>
      </w:pPr>
    </w:p>
    <w:p w:rsidR="00CB4E42" w:rsidRPr="003F34A2" w:rsidRDefault="00CB4E42" w:rsidP="00CB4E42">
      <w:pPr>
        <w:spacing w:before="120" w:line="257" w:lineRule="auto"/>
        <w:rPr>
          <w:rFonts w:ascii="Times New Roman" w:hAnsi="Times New Roman" w:cs="Times New Roman"/>
          <w:color w:val="auto"/>
          <w:sz w:val="26"/>
          <w:szCs w:val="26"/>
        </w:rPr>
      </w:pPr>
    </w:p>
    <w:p w:rsidR="00CB4E42" w:rsidRPr="003F34A2" w:rsidRDefault="00CB4E42" w:rsidP="00CB4E42">
      <w:pPr>
        <w:rPr>
          <w:color w:val="auto"/>
          <w:sz w:val="26"/>
          <w:szCs w:val="26"/>
        </w:rPr>
      </w:pPr>
    </w:p>
    <w:p w:rsidR="00863B35" w:rsidRPr="003F34A2" w:rsidRDefault="00863B35">
      <w:pPr>
        <w:rPr>
          <w:color w:val="auto"/>
        </w:rPr>
      </w:pPr>
    </w:p>
    <w:sectPr w:rsidR="00863B35" w:rsidRPr="003F34A2" w:rsidSect="00D224A9">
      <w:headerReference w:type="default" r:id="rId7"/>
      <w:footerReference w:type="default" r:id="rId8"/>
      <w:pgSz w:w="11909" w:h="16834" w:code="9"/>
      <w:pgMar w:top="1134" w:right="1021" w:bottom="1134"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31" w:rsidRDefault="00661131">
      <w:r>
        <w:separator/>
      </w:r>
    </w:p>
  </w:endnote>
  <w:endnote w:type="continuationSeparator" w:id="0">
    <w:p w:rsidR="00661131" w:rsidRDefault="0066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47" w:rsidRPr="00705747" w:rsidRDefault="00FA43B7" w:rsidP="00705747">
    <w:pPr>
      <w:pStyle w:val="Footer"/>
      <w:spacing w:before="120" w:line="288" w:lineRule="auto"/>
      <w:rPr>
        <w:rFonts w:ascii="Times New Roman Bold" w:hAnsi="Times New Roman Bold"/>
        <w:b/>
        <w:sz w:val="24"/>
      </w:rPr>
    </w:pPr>
    <w:r>
      <w:rPr>
        <w:rFonts w:ascii="Times New Roman Bold" w:hAnsi="Times New Roman Bold"/>
        <w:b/>
        <w:noProof/>
        <w:sz w:val="24"/>
      </w:rPr>
      <mc:AlternateContent>
        <mc:Choice Requires="wps">
          <w:drawing>
            <wp:anchor distT="0" distB="0" distL="114300" distR="114300" simplePos="0" relativeHeight="251660288" behindDoc="0" locked="0" layoutInCell="1" allowOverlap="1" wp14:anchorId="25958BB7" wp14:editId="751DC2EB">
              <wp:simplePos x="0" y="0"/>
              <wp:positionH relativeFrom="column">
                <wp:posOffset>-2540</wp:posOffset>
              </wp:positionH>
              <wp:positionV relativeFrom="paragraph">
                <wp:posOffset>17145</wp:posOffset>
              </wp:positionV>
              <wp:extent cx="59531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5953125" cy="0"/>
                      </a:xfrm>
                      <a:prstGeom prst="line">
                        <a:avLst/>
                      </a:prstGeom>
                      <a:ln w="95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F321500" id="Straight Connector 4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" strokecolor="black [3213]">
              <v:stroke linestyle="thinThin" joinstyle="miter"/>
            </v:line>
          </w:pict>
        </mc:Fallback>
      </mc:AlternateContent>
    </w:r>
    <w:r w:rsidRPr="00705747">
      <w:rPr>
        <w:rFonts w:ascii="Times New Roman Bold" w:hAnsi="Times New Roman Bold"/>
        <w:b/>
        <w:sz w:val="24"/>
      </w:rPr>
      <w:t>CÔNG TY CỔ PHẦN LICOGI13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31" w:rsidRDefault="00661131">
      <w:r>
        <w:separator/>
      </w:r>
    </w:p>
  </w:footnote>
  <w:footnote w:type="continuationSeparator" w:id="0">
    <w:p w:rsidR="00661131" w:rsidRDefault="0066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47" w:rsidRPr="00705747" w:rsidRDefault="00FA43B7" w:rsidP="00705747">
    <w:pPr>
      <w:pStyle w:val="Footer"/>
      <w:spacing w:after="120" w:line="288" w:lineRule="auto"/>
      <w:rPr>
        <w:rFonts w:ascii="Times New Roman Bold" w:hAnsi="Times New Roman Bold"/>
        <w:b/>
        <w:sz w:val="24"/>
      </w:rPr>
    </w:pPr>
    <w:r>
      <w:rPr>
        <w:rFonts w:ascii="Times New Roman Bold" w:hAnsi="Times New Roman Bold"/>
        <w:b/>
        <w:noProof/>
        <w:sz w:val="24"/>
      </w:rPr>
      <mc:AlternateContent>
        <mc:Choice Requires="wps">
          <w:drawing>
            <wp:anchor distT="0" distB="0" distL="114300" distR="114300" simplePos="0" relativeHeight="251659264" behindDoc="0" locked="0" layoutInCell="1" allowOverlap="1" wp14:anchorId="791A3019" wp14:editId="7CB42252">
              <wp:simplePos x="0" y="0"/>
              <wp:positionH relativeFrom="column">
                <wp:posOffset>-2540</wp:posOffset>
              </wp:positionH>
              <wp:positionV relativeFrom="paragraph">
                <wp:posOffset>209550</wp:posOffset>
              </wp:positionV>
              <wp:extent cx="59531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072DCA4" id="Straight Connector 4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6.5pt" to="46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" strokecolor="black [3213]" strokeweight=".5pt">
              <v:stroke joinstyle="miter"/>
            </v:line>
          </w:pict>
        </mc:Fallback>
      </mc:AlternateContent>
    </w:r>
    <w:r>
      <w:rPr>
        <w:rFonts w:ascii="Times New Roman Bold" w:hAnsi="Times New Roman Bold"/>
        <w:b/>
        <w:sz w:val="24"/>
      </w:rPr>
      <w:t xml:space="preserve"> ĐẠI HỘI CỔ ĐÔNG THƯỜNG NIÊN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87B12"/>
    <w:multiLevelType w:val="hybridMultilevel"/>
    <w:tmpl w:val="71E0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42"/>
    <w:rsid w:val="003F34A2"/>
    <w:rsid w:val="00661131"/>
    <w:rsid w:val="007C2E4B"/>
    <w:rsid w:val="00863B35"/>
    <w:rsid w:val="00A72274"/>
    <w:rsid w:val="00CB4E42"/>
    <w:rsid w:val="00E32A15"/>
    <w:rsid w:val="00ED7AD0"/>
    <w:rsid w:val="00FA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D2264-1263-4E13-A7FD-92EA03C6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4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4E42"/>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CB4E42"/>
    <w:rPr>
      <w:rFonts w:ascii="Calibri" w:eastAsia="Calibri" w:hAnsi="Calibri" w:cs="Times New Roman"/>
    </w:rPr>
  </w:style>
  <w:style w:type="paragraph" w:customStyle="1" w:styleId="Default">
    <w:name w:val="Default"/>
    <w:qFormat/>
    <w:rsid w:val="00CB4E42"/>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ListParagraph">
    <w:name w:val="List Paragraph"/>
    <w:basedOn w:val="Normal"/>
    <w:uiPriority w:val="34"/>
    <w:qFormat/>
    <w:rsid w:val="00CB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2020-06-15T04:22:00Z</dcterms:created>
  <dcterms:modified xsi:type="dcterms:W3CDTF">2020-06-16T10:50:00Z</dcterms:modified>
</cp:coreProperties>
</file>