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8147B" w14:textId="77777777" w:rsidR="00991971" w:rsidRPr="003D319D" w:rsidRDefault="00991971" w:rsidP="00735065">
      <w:pPr>
        <w:spacing w:before="120" w:line="257" w:lineRule="auto"/>
        <w:jc w:val="center"/>
        <w:rPr>
          <w:b/>
          <w:sz w:val="30"/>
          <w:szCs w:val="30"/>
          <w:lang w:val="nl-NL"/>
        </w:rPr>
      </w:pPr>
      <w:r w:rsidRPr="003D319D">
        <w:rPr>
          <w:b/>
          <w:sz w:val="30"/>
          <w:szCs w:val="30"/>
          <w:lang w:val="nl-NL"/>
        </w:rPr>
        <w:t>TỜ TRÌNH</w:t>
      </w:r>
    </w:p>
    <w:p w14:paraId="45667EE3" w14:textId="77777777" w:rsidR="00991971" w:rsidRDefault="00991971" w:rsidP="00991971">
      <w:pPr>
        <w:spacing w:line="257" w:lineRule="auto"/>
        <w:jc w:val="center"/>
        <w:rPr>
          <w:b/>
          <w:sz w:val="30"/>
          <w:szCs w:val="30"/>
          <w:lang w:val="nl-NL"/>
        </w:rPr>
      </w:pPr>
      <w:r w:rsidRPr="003D319D">
        <w:rPr>
          <w:b/>
          <w:sz w:val="30"/>
          <w:szCs w:val="30"/>
          <w:lang w:val="nl-NL"/>
        </w:rPr>
        <w:t>ĐẠI HỘI CỔ ĐÔNG THƯỜNG NIÊN 202</w:t>
      </w:r>
      <w:r>
        <w:rPr>
          <w:b/>
          <w:sz w:val="30"/>
          <w:szCs w:val="30"/>
          <w:lang w:val="nl-NL"/>
        </w:rPr>
        <w:t>1</w:t>
      </w:r>
    </w:p>
    <w:p w14:paraId="081E99E4" w14:textId="006FAB66" w:rsidR="00287636" w:rsidRPr="006A3664" w:rsidRDefault="00287636" w:rsidP="00287636">
      <w:pPr>
        <w:autoSpaceDE w:val="0"/>
        <w:autoSpaceDN w:val="0"/>
        <w:adjustRightInd w:val="0"/>
        <w:spacing w:line="257" w:lineRule="auto"/>
        <w:jc w:val="center"/>
        <w:outlineLvl w:val="0"/>
        <w:rPr>
          <w:bCs/>
          <w:sz w:val="28"/>
          <w:szCs w:val="26"/>
          <w:lang w:val="nl-NL"/>
        </w:rPr>
      </w:pPr>
      <w:r w:rsidRPr="006A3664">
        <w:rPr>
          <w:bCs/>
          <w:sz w:val="28"/>
          <w:szCs w:val="26"/>
          <w:lang w:val="nl-NL"/>
        </w:rPr>
        <w:t>Số 0</w:t>
      </w:r>
      <w:r>
        <w:rPr>
          <w:bCs/>
          <w:sz w:val="28"/>
          <w:szCs w:val="26"/>
          <w:lang w:val="nl-NL"/>
        </w:rPr>
        <w:t>2</w:t>
      </w:r>
      <w:r w:rsidRPr="006A3664">
        <w:rPr>
          <w:bCs/>
          <w:sz w:val="28"/>
          <w:szCs w:val="26"/>
          <w:lang w:val="nl-NL"/>
        </w:rPr>
        <w:t>/2021/TT-LICOGI13-HĐQT</w:t>
      </w:r>
      <w:r w:rsidR="0032731E">
        <w:rPr>
          <w:bCs/>
          <w:sz w:val="28"/>
          <w:szCs w:val="26"/>
          <w:lang w:val="nl-NL"/>
        </w:rPr>
        <w:t xml:space="preserve"> ngày 29/4</w:t>
      </w:r>
      <w:r>
        <w:rPr>
          <w:bCs/>
          <w:sz w:val="28"/>
          <w:szCs w:val="26"/>
          <w:lang w:val="nl-NL"/>
        </w:rPr>
        <w:t>/2021</w:t>
      </w:r>
    </w:p>
    <w:p w14:paraId="190287FD" w14:textId="77777777" w:rsidR="00735065" w:rsidRPr="00735065" w:rsidRDefault="00287636" w:rsidP="00735065">
      <w:pPr>
        <w:spacing w:before="120" w:after="120" w:line="288" w:lineRule="auto"/>
        <w:ind w:left="360"/>
        <w:jc w:val="center"/>
        <w:rPr>
          <w:b/>
          <w:bCs/>
          <w:iCs/>
          <w:spacing w:val="-4"/>
          <w:sz w:val="28"/>
          <w:szCs w:val="28"/>
        </w:rPr>
      </w:pPr>
      <w:r>
        <w:rPr>
          <w:b/>
          <w:bCs/>
          <w:iCs/>
          <w:spacing w:val="-4"/>
          <w:sz w:val="28"/>
          <w:szCs w:val="28"/>
        </w:rPr>
        <w:t xml:space="preserve">Về </w:t>
      </w:r>
      <w:r w:rsidR="00735065" w:rsidRPr="00735065">
        <w:rPr>
          <w:b/>
          <w:bCs/>
          <w:iCs/>
          <w:spacing w:val="-4"/>
          <w:sz w:val="28"/>
          <w:szCs w:val="28"/>
          <w:lang w:val="vi-VN"/>
        </w:rPr>
        <w:t>Phương án phát hành chào bán cổ phiếu</w:t>
      </w:r>
      <w:r w:rsidR="00735065" w:rsidRPr="00735065">
        <w:rPr>
          <w:b/>
          <w:bCs/>
          <w:iCs/>
          <w:spacing w:val="-4"/>
          <w:sz w:val="28"/>
          <w:szCs w:val="28"/>
        </w:rPr>
        <w:t xml:space="preserve"> riêng lẻ cho Nhà đầu tư chứng khoán chuyên nghiệp</w:t>
      </w:r>
    </w:p>
    <w:p w14:paraId="1127A551" w14:textId="54418EC3" w:rsidR="00735065" w:rsidRPr="00223E18" w:rsidRDefault="00735065" w:rsidP="00223E18">
      <w:pPr>
        <w:spacing w:before="120" w:line="288" w:lineRule="auto"/>
        <w:ind w:left="360"/>
        <w:jc w:val="both"/>
        <w:rPr>
          <w:i/>
          <w:sz w:val="28"/>
          <w:szCs w:val="28"/>
          <w:lang w:val="nl-NL"/>
        </w:rPr>
      </w:pPr>
      <w:r w:rsidRPr="00E657B1">
        <w:rPr>
          <w:b/>
          <w:bCs/>
          <w:iCs/>
          <w:spacing w:val="-4"/>
          <w:sz w:val="26"/>
          <w:szCs w:val="26"/>
          <w:lang w:val="vi-VN"/>
        </w:rPr>
        <w:t xml:space="preserve"> </w:t>
      </w:r>
      <w:r w:rsidR="00391E7E">
        <w:rPr>
          <w:b/>
          <w:bCs/>
          <w:iCs/>
          <w:spacing w:val="-4"/>
          <w:sz w:val="26"/>
          <w:szCs w:val="26"/>
          <w:lang w:val="vi-VN"/>
        </w:rPr>
        <w:tab/>
      </w:r>
      <w:r w:rsidRPr="00223E18">
        <w:rPr>
          <w:i/>
          <w:sz w:val="28"/>
          <w:szCs w:val="28"/>
          <w:lang w:val="nl-NL"/>
        </w:rPr>
        <w:t>Căn cứ Luật Doanh nghiệp số 59/2020/QH14 ngày 17/6/2020;</w:t>
      </w:r>
    </w:p>
    <w:p w14:paraId="38FDD4F1" w14:textId="77777777" w:rsidR="00735065" w:rsidRPr="00223E18" w:rsidRDefault="00735065" w:rsidP="00223E18">
      <w:pPr>
        <w:autoSpaceDE w:val="0"/>
        <w:autoSpaceDN w:val="0"/>
        <w:adjustRightInd w:val="0"/>
        <w:spacing w:before="120" w:line="264" w:lineRule="auto"/>
        <w:ind w:firstLine="720"/>
        <w:jc w:val="both"/>
        <w:outlineLvl w:val="0"/>
        <w:rPr>
          <w:i/>
          <w:sz w:val="28"/>
          <w:szCs w:val="28"/>
          <w:lang w:val="nl-NL"/>
        </w:rPr>
      </w:pPr>
      <w:r w:rsidRPr="00223E18">
        <w:rPr>
          <w:i/>
          <w:sz w:val="28"/>
          <w:szCs w:val="28"/>
          <w:lang w:val="nl-NL"/>
        </w:rPr>
        <w:t>Căn cứ Luật Chứng khoán số 54/2019/QH14 ngày 26/11/2019;</w:t>
      </w:r>
    </w:p>
    <w:p w14:paraId="7CDEE415" w14:textId="77777777" w:rsidR="00735065" w:rsidRPr="00223E18" w:rsidRDefault="00391E7E" w:rsidP="00223E18">
      <w:pPr>
        <w:autoSpaceDE w:val="0"/>
        <w:autoSpaceDN w:val="0"/>
        <w:adjustRightInd w:val="0"/>
        <w:spacing w:before="120" w:line="264" w:lineRule="auto"/>
        <w:ind w:firstLine="720"/>
        <w:jc w:val="both"/>
        <w:outlineLvl w:val="0"/>
        <w:rPr>
          <w:bCs/>
          <w:i/>
          <w:iCs/>
          <w:spacing w:val="-4"/>
          <w:sz w:val="28"/>
          <w:szCs w:val="28"/>
          <w:lang w:val="vi-VN"/>
        </w:rPr>
      </w:pPr>
      <w:r w:rsidRPr="00223E18">
        <w:rPr>
          <w:i/>
          <w:sz w:val="28"/>
          <w:szCs w:val="28"/>
          <w:lang w:val="nl-NL"/>
        </w:rPr>
        <w:t>Căn cứ N</w:t>
      </w:r>
      <w:r w:rsidR="00735065" w:rsidRPr="00223E18">
        <w:rPr>
          <w:i/>
          <w:sz w:val="28"/>
          <w:szCs w:val="28"/>
          <w:lang w:val="nl-NL"/>
        </w:rPr>
        <w:t>ghị định số 155/2020/NĐ-CP ngày 31/12/2020 của Chính phủ về việc quy định chi tiết thi hành một số điều của Luật Chứng khoán (“Nghị định 155/2020/NĐ-CP”);</w:t>
      </w:r>
      <w:r w:rsidR="00735065" w:rsidRPr="00223E18">
        <w:rPr>
          <w:bCs/>
          <w:i/>
          <w:iCs/>
          <w:spacing w:val="-4"/>
          <w:sz w:val="28"/>
          <w:szCs w:val="28"/>
          <w:lang w:val="vi-VN"/>
        </w:rPr>
        <w:t xml:space="preserve"> </w:t>
      </w:r>
    </w:p>
    <w:p w14:paraId="0DE10539" w14:textId="77777777" w:rsidR="00735065" w:rsidRPr="00223E18" w:rsidRDefault="00735065" w:rsidP="00223E18">
      <w:pPr>
        <w:autoSpaceDE w:val="0"/>
        <w:autoSpaceDN w:val="0"/>
        <w:adjustRightInd w:val="0"/>
        <w:spacing w:before="120" w:line="264" w:lineRule="auto"/>
        <w:ind w:firstLine="720"/>
        <w:jc w:val="both"/>
        <w:outlineLvl w:val="0"/>
        <w:rPr>
          <w:i/>
          <w:iCs/>
          <w:spacing w:val="-4"/>
          <w:sz w:val="28"/>
          <w:szCs w:val="28"/>
          <w:lang w:val="vi-VN"/>
        </w:rPr>
      </w:pPr>
      <w:r w:rsidRPr="00223E18">
        <w:rPr>
          <w:bCs/>
          <w:i/>
          <w:iCs/>
          <w:spacing w:val="-4"/>
          <w:sz w:val="28"/>
          <w:szCs w:val="28"/>
        </w:rPr>
        <w:t xml:space="preserve">Căn cứ </w:t>
      </w:r>
      <w:r w:rsidR="00391E7E" w:rsidRPr="00223E18">
        <w:rPr>
          <w:i/>
          <w:iCs/>
          <w:spacing w:val="-4"/>
          <w:sz w:val="28"/>
          <w:szCs w:val="28"/>
          <w:lang w:val="vi-VN"/>
        </w:rPr>
        <w:t xml:space="preserve">Điều lệ </w:t>
      </w:r>
      <w:r w:rsidRPr="00223E18">
        <w:rPr>
          <w:i/>
          <w:iCs/>
          <w:spacing w:val="-4"/>
          <w:sz w:val="28"/>
          <w:szCs w:val="28"/>
          <w:lang w:val="vi-VN"/>
        </w:rPr>
        <w:t>của Công ty cổ phần Licogi 13;</w:t>
      </w:r>
    </w:p>
    <w:p w14:paraId="0C921E79" w14:textId="77777777" w:rsidR="00735065" w:rsidRPr="00223E18" w:rsidRDefault="00735065" w:rsidP="00223E18">
      <w:pPr>
        <w:autoSpaceDE w:val="0"/>
        <w:autoSpaceDN w:val="0"/>
        <w:adjustRightInd w:val="0"/>
        <w:spacing w:before="120" w:line="264" w:lineRule="auto"/>
        <w:ind w:firstLine="720"/>
        <w:jc w:val="both"/>
        <w:outlineLvl w:val="0"/>
        <w:rPr>
          <w:i/>
          <w:iCs/>
          <w:spacing w:val="-4"/>
          <w:sz w:val="28"/>
          <w:szCs w:val="28"/>
        </w:rPr>
      </w:pPr>
      <w:r w:rsidRPr="00223E18">
        <w:rPr>
          <w:i/>
          <w:iCs/>
          <w:spacing w:val="-4"/>
          <w:sz w:val="28"/>
          <w:szCs w:val="28"/>
        </w:rPr>
        <w:t xml:space="preserve">Căn cứ định hướng </w:t>
      </w:r>
      <w:r w:rsidRPr="00223E18">
        <w:rPr>
          <w:i/>
          <w:iCs/>
          <w:spacing w:val="-4"/>
          <w:sz w:val="28"/>
          <w:szCs w:val="28"/>
          <w:lang w:val="vi-VN"/>
        </w:rPr>
        <w:t>phát triển</w:t>
      </w:r>
      <w:r w:rsidRPr="00223E18">
        <w:rPr>
          <w:i/>
          <w:iCs/>
          <w:spacing w:val="-4"/>
          <w:sz w:val="28"/>
          <w:szCs w:val="28"/>
        </w:rPr>
        <w:t xml:space="preserve"> sản xuất</w:t>
      </w:r>
      <w:r w:rsidRPr="00223E18">
        <w:rPr>
          <w:i/>
          <w:iCs/>
          <w:spacing w:val="-4"/>
          <w:sz w:val="28"/>
          <w:szCs w:val="28"/>
          <w:lang w:val="vi-VN"/>
        </w:rPr>
        <w:t xml:space="preserve"> kinh doanh</w:t>
      </w:r>
      <w:r w:rsidRPr="00223E18">
        <w:rPr>
          <w:i/>
          <w:iCs/>
          <w:spacing w:val="-4"/>
          <w:sz w:val="28"/>
          <w:szCs w:val="28"/>
        </w:rPr>
        <w:t xml:space="preserve"> và đầu tư</w:t>
      </w:r>
      <w:r w:rsidRPr="00223E18">
        <w:rPr>
          <w:i/>
          <w:iCs/>
          <w:spacing w:val="-4"/>
          <w:sz w:val="28"/>
          <w:szCs w:val="28"/>
          <w:lang w:val="vi-VN"/>
        </w:rPr>
        <w:t xml:space="preserve"> và nhu cầu vốn của Công ty</w:t>
      </w:r>
      <w:r w:rsidR="00391E7E" w:rsidRPr="00223E18">
        <w:rPr>
          <w:i/>
          <w:iCs/>
          <w:spacing w:val="-4"/>
          <w:sz w:val="28"/>
          <w:szCs w:val="28"/>
        </w:rPr>
        <w:t>,</w:t>
      </w:r>
    </w:p>
    <w:p w14:paraId="5CA7B55D" w14:textId="244A773B" w:rsidR="00735065" w:rsidRPr="00391E7E" w:rsidRDefault="00391E7E" w:rsidP="00223E18">
      <w:pPr>
        <w:spacing w:before="120" w:line="264" w:lineRule="auto"/>
        <w:ind w:firstLine="720"/>
        <w:jc w:val="both"/>
        <w:rPr>
          <w:iCs/>
          <w:spacing w:val="-4"/>
          <w:sz w:val="28"/>
          <w:szCs w:val="28"/>
          <w:lang w:val="vi-VN"/>
        </w:rPr>
      </w:pPr>
      <w:r>
        <w:rPr>
          <w:iCs/>
          <w:spacing w:val="-4"/>
          <w:sz w:val="28"/>
          <w:szCs w:val="28"/>
        </w:rPr>
        <w:t xml:space="preserve">Hội đồng quản trị trình Đại hội đồng cổ đông xem xét và thông qua </w:t>
      </w:r>
      <w:r w:rsidR="00735065" w:rsidRPr="00391E7E">
        <w:rPr>
          <w:iCs/>
          <w:spacing w:val="-4"/>
          <w:sz w:val="28"/>
          <w:szCs w:val="28"/>
          <w:lang w:val="vi-VN"/>
        </w:rPr>
        <w:t>Phương án phát hành Chào bán cổ phiếu riêng lẻ cho nhà đầu</w:t>
      </w:r>
      <w:r w:rsidR="00E70F7A">
        <w:rPr>
          <w:iCs/>
          <w:spacing w:val="-4"/>
          <w:sz w:val="28"/>
          <w:szCs w:val="28"/>
          <w:lang w:val="vi-VN"/>
        </w:rPr>
        <w:t xml:space="preserve"> tư chứng khoán chuyên nghiệp, </w:t>
      </w:r>
      <w:r>
        <w:rPr>
          <w:iCs/>
          <w:spacing w:val="-4"/>
          <w:sz w:val="28"/>
          <w:szCs w:val="28"/>
        </w:rPr>
        <w:t>c</w:t>
      </w:r>
      <w:r w:rsidR="00735065" w:rsidRPr="00391E7E">
        <w:rPr>
          <w:iCs/>
          <w:spacing w:val="-4"/>
          <w:sz w:val="28"/>
          <w:szCs w:val="28"/>
          <w:lang w:val="vi-VN"/>
        </w:rPr>
        <w:t>hi tiết Phương án như sau:</w:t>
      </w:r>
    </w:p>
    <w:p w14:paraId="28E58D79" w14:textId="77777777" w:rsidR="00735065" w:rsidRPr="00391E7E" w:rsidRDefault="00735065" w:rsidP="00223E18">
      <w:pPr>
        <w:numPr>
          <w:ilvl w:val="0"/>
          <w:numId w:val="5"/>
        </w:numPr>
        <w:spacing w:before="120" w:after="120" w:line="264" w:lineRule="auto"/>
        <w:ind w:left="1080"/>
        <w:contextualSpacing/>
        <w:jc w:val="both"/>
        <w:rPr>
          <w:b/>
          <w:bCs/>
          <w:iCs/>
          <w:spacing w:val="-4"/>
          <w:sz w:val="28"/>
          <w:szCs w:val="28"/>
          <w:lang w:val="vi-VN"/>
        </w:rPr>
      </w:pPr>
      <w:r w:rsidRPr="00391E7E">
        <w:rPr>
          <w:b/>
          <w:bCs/>
          <w:iCs/>
          <w:spacing w:val="-4"/>
          <w:sz w:val="28"/>
          <w:szCs w:val="28"/>
          <w:lang w:val="vi-VN"/>
        </w:rPr>
        <w:t>PHƯƠNG ÁN PHÁT HÀNH</w:t>
      </w:r>
    </w:p>
    <w:p w14:paraId="097128E3" w14:textId="2A033B7D" w:rsidR="00735065" w:rsidRPr="00391E7E" w:rsidRDefault="00735065" w:rsidP="00223E18">
      <w:pPr>
        <w:widowControl w:val="0"/>
        <w:numPr>
          <w:ilvl w:val="0"/>
          <w:numId w:val="6"/>
        </w:numPr>
        <w:tabs>
          <w:tab w:val="left" w:pos="360"/>
        </w:tabs>
        <w:suppressAutoHyphens/>
        <w:snapToGrid w:val="0"/>
        <w:spacing w:before="120" w:after="120" w:line="264" w:lineRule="auto"/>
        <w:jc w:val="both"/>
        <w:rPr>
          <w:b/>
          <w:sz w:val="28"/>
          <w:szCs w:val="28"/>
        </w:rPr>
      </w:pPr>
      <w:r w:rsidRPr="00391E7E">
        <w:rPr>
          <w:b/>
          <w:sz w:val="28"/>
          <w:szCs w:val="28"/>
        </w:rPr>
        <w:t xml:space="preserve"> Quy mô </w:t>
      </w:r>
      <w:r w:rsidRPr="00391E7E">
        <w:rPr>
          <w:b/>
          <w:sz w:val="28"/>
          <w:szCs w:val="28"/>
          <w:lang w:val="vi-VN"/>
        </w:rPr>
        <w:t>đợt chào bán:</w:t>
      </w:r>
    </w:p>
    <w:p w14:paraId="553A3C58" w14:textId="77777777" w:rsidR="00735065" w:rsidRPr="00391E7E" w:rsidRDefault="00735065" w:rsidP="00223E18">
      <w:pPr>
        <w:numPr>
          <w:ilvl w:val="0"/>
          <w:numId w:val="2"/>
        </w:numPr>
        <w:spacing w:before="120" w:after="120" w:line="264" w:lineRule="auto"/>
        <w:ind w:left="714" w:hanging="357"/>
        <w:jc w:val="both"/>
        <w:rPr>
          <w:sz w:val="28"/>
          <w:szCs w:val="28"/>
          <w:lang w:val="pt-BR"/>
        </w:rPr>
      </w:pPr>
      <w:r w:rsidRPr="00391E7E">
        <w:rPr>
          <w:sz w:val="28"/>
          <w:szCs w:val="28"/>
          <w:lang w:val="pt-BR"/>
        </w:rPr>
        <w:t>Tổ chức phát</w:t>
      </w:r>
      <w:r w:rsidRPr="00391E7E">
        <w:rPr>
          <w:sz w:val="28"/>
          <w:szCs w:val="28"/>
          <w:lang w:val="vi-VN"/>
        </w:rPr>
        <w:t xml:space="preserve"> hành</w:t>
      </w:r>
      <w:r w:rsidRPr="00391E7E">
        <w:rPr>
          <w:sz w:val="28"/>
          <w:szCs w:val="28"/>
          <w:lang w:val="pt-BR"/>
        </w:rPr>
        <w:t>: Công ty Cổ phần Licogi 13.</w:t>
      </w:r>
    </w:p>
    <w:p w14:paraId="3629D86E" w14:textId="77777777" w:rsidR="00735065" w:rsidRPr="00391E7E" w:rsidRDefault="00735065" w:rsidP="00223E18">
      <w:pPr>
        <w:numPr>
          <w:ilvl w:val="0"/>
          <w:numId w:val="2"/>
        </w:numPr>
        <w:spacing w:before="120" w:after="120" w:line="264" w:lineRule="auto"/>
        <w:ind w:left="714" w:hanging="357"/>
        <w:jc w:val="both"/>
        <w:rPr>
          <w:sz w:val="28"/>
          <w:szCs w:val="28"/>
          <w:lang w:val="pt-BR"/>
        </w:rPr>
      </w:pPr>
      <w:r w:rsidRPr="00391E7E">
        <w:rPr>
          <w:sz w:val="28"/>
          <w:szCs w:val="28"/>
          <w:lang w:val="pt-BR"/>
        </w:rPr>
        <w:t>Tên cổ</w:t>
      </w:r>
      <w:r w:rsidRPr="00391E7E">
        <w:rPr>
          <w:sz w:val="28"/>
          <w:szCs w:val="28"/>
          <w:lang w:val="vi-VN"/>
        </w:rPr>
        <w:t xml:space="preserve"> phiếu</w:t>
      </w:r>
      <w:r w:rsidRPr="00391E7E">
        <w:rPr>
          <w:sz w:val="28"/>
          <w:szCs w:val="28"/>
          <w:lang w:val="pt-BR"/>
        </w:rPr>
        <w:t>: Cổ phiếu Công ty Cổ phần Licogi 13.</w:t>
      </w:r>
    </w:p>
    <w:p w14:paraId="7E60D357" w14:textId="77777777" w:rsidR="00735065" w:rsidRPr="00391E7E" w:rsidRDefault="00735065" w:rsidP="00223E18">
      <w:pPr>
        <w:numPr>
          <w:ilvl w:val="0"/>
          <w:numId w:val="2"/>
        </w:numPr>
        <w:spacing w:before="120" w:after="120" w:line="264" w:lineRule="auto"/>
        <w:ind w:left="714" w:hanging="357"/>
        <w:jc w:val="both"/>
        <w:rPr>
          <w:sz w:val="28"/>
          <w:szCs w:val="28"/>
          <w:lang w:val="pt-BR"/>
        </w:rPr>
      </w:pPr>
      <w:r w:rsidRPr="00391E7E">
        <w:rPr>
          <w:sz w:val="28"/>
          <w:szCs w:val="28"/>
          <w:lang w:val="pt-BR"/>
        </w:rPr>
        <w:t>Loại cổ phiếu: Cổ phiếu phổ thông.</w:t>
      </w:r>
    </w:p>
    <w:p w14:paraId="6398B993" w14:textId="77777777" w:rsidR="00735065" w:rsidRPr="00391E7E" w:rsidRDefault="00735065" w:rsidP="00223E18">
      <w:pPr>
        <w:numPr>
          <w:ilvl w:val="0"/>
          <w:numId w:val="2"/>
        </w:numPr>
        <w:spacing w:before="120" w:after="120" w:line="264" w:lineRule="auto"/>
        <w:ind w:left="714" w:hanging="357"/>
        <w:jc w:val="both"/>
        <w:rPr>
          <w:sz w:val="28"/>
          <w:szCs w:val="28"/>
          <w:lang w:val="pt-BR"/>
        </w:rPr>
      </w:pPr>
      <w:r w:rsidRPr="00391E7E">
        <w:rPr>
          <w:sz w:val="28"/>
          <w:szCs w:val="28"/>
          <w:lang w:val="pt-BR"/>
        </w:rPr>
        <w:t>Mã</w:t>
      </w:r>
      <w:r w:rsidRPr="00391E7E">
        <w:rPr>
          <w:sz w:val="28"/>
          <w:szCs w:val="28"/>
          <w:lang w:val="vi-VN"/>
        </w:rPr>
        <w:t xml:space="preserve"> chứng khoán: LIG</w:t>
      </w:r>
      <w:r w:rsidRPr="00391E7E">
        <w:rPr>
          <w:sz w:val="28"/>
          <w:szCs w:val="28"/>
        </w:rPr>
        <w:t>.</w:t>
      </w:r>
    </w:p>
    <w:p w14:paraId="751417BD" w14:textId="77777777" w:rsidR="00735065" w:rsidRPr="00391E7E" w:rsidRDefault="00735065" w:rsidP="00223E18">
      <w:pPr>
        <w:numPr>
          <w:ilvl w:val="0"/>
          <w:numId w:val="2"/>
        </w:numPr>
        <w:spacing w:before="120" w:after="120" w:line="264" w:lineRule="auto"/>
        <w:ind w:left="714" w:hanging="357"/>
        <w:jc w:val="both"/>
        <w:rPr>
          <w:sz w:val="28"/>
          <w:szCs w:val="28"/>
          <w:lang w:val="pt-BR"/>
        </w:rPr>
      </w:pPr>
      <w:r w:rsidRPr="00391E7E">
        <w:rPr>
          <w:sz w:val="28"/>
          <w:szCs w:val="28"/>
          <w:lang w:val="pt-BR"/>
        </w:rPr>
        <w:t>Mệnh giá: 10.000 đồng/cổ phiếu.</w:t>
      </w:r>
    </w:p>
    <w:p w14:paraId="1EDF979C" w14:textId="77777777" w:rsidR="00735065" w:rsidRPr="00391E7E" w:rsidRDefault="00735065" w:rsidP="00223E18">
      <w:pPr>
        <w:numPr>
          <w:ilvl w:val="0"/>
          <w:numId w:val="2"/>
        </w:numPr>
        <w:spacing w:before="120" w:after="120" w:line="264" w:lineRule="auto"/>
        <w:ind w:left="714" w:hanging="357"/>
        <w:jc w:val="both"/>
        <w:rPr>
          <w:sz w:val="28"/>
          <w:szCs w:val="28"/>
          <w:lang w:val="pt-BR"/>
        </w:rPr>
      </w:pPr>
      <w:r w:rsidRPr="00391E7E">
        <w:rPr>
          <w:sz w:val="28"/>
          <w:szCs w:val="28"/>
          <w:lang w:val="pt-BR"/>
        </w:rPr>
        <w:t>Phương</w:t>
      </w:r>
      <w:r w:rsidRPr="00391E7E">
        <w:rPr>
          <w:sz w:val="28"/>
          <w:szCs w:val="28"/>
          <w:lang w:val="vi-VN"/>
        </w:rPr>
        <w:t xml:space="preserve"> án phát hành: chào bán cổ phiếu riêng lẻ cho nhà đầu tư chứng khoán chuyên nghiệp trong nước</w:t>
      </w:r>
    </w:p>
    <w:p w14:paraId="02C80F85" w14:textId="77777777" w:rsidR="00735065" w:rsidRPr="00391E7E" w:rsidRDefault="00735065" w:rsidP="00223E18">
      <w:pPr>
        <w:numPr>
          <w:ilvl w:val="0"/>
          <w:numId w:val="2"/>
        </w:numPr>
        <w:spacing w:before="120" w:after="120" w:line="264" w:lineRule="auto"/>
        <w:ind w:left="714" w:hanging="357"/>
        <w:jc w:val="both"/>
        <w:rPr>
          <w:sz w:val="28"/>
          <w:szCs w:val="28"/>
          <w:lang w:val="pt-BR"/>
        </w:rPr>
      </w:pPr>
      <w:r w:rsidRPr="00391E7E">
        <w:rPr>
          <w:sz w:val="28"/>
          <w:szCs w:val="28"/>
          <w:lang w:val="pt-BR"/>
        </w:rPr>
        <w:t>Số lượng</w:t>
      </w:r>
      <w:r w:rsidRPr="00391E7E">
        <w:rPr>
          <w:sz w:val="28"/>
          <w:szCs w:val="28"/>
          <w:lang w:val="vi-VN"/>
        </w:rPr>
        <w:t xml:space="preserve"> </w:t>
      </w:r>
      <w:r w:rsidRPr="00391E7E">
        <w:rPr>
          <w:sz w:val="28"/>
          <w:szCs w:val="28"/>
          <w:lang w:val="pt-BR"/>
        </w:rPr>
        <w:t>cổ phiếu đăng</w:t>
      </w:r>
      <w:r w:rsidRPr="00391E7E">
        <w:rPr>
          <w:sz w:val="28"/>
          <w:szCs w:val="28"/>
          <w:lang w:val="vi-VN"/>
        </w:rPr>
        <w:t xml:space="preserve"> ký chào bán</w:t>
      </w:r>
      <w:r w:rsidRPr="00391E7E">
        <w:rPr>
          <w:sz w:val="28"/>
          <w:szCs w:val="28"/>
          <w:lang w:val="pt-BR"/>
        </w:rPr>
        <w:t xml:space="preserve">: </w:t>
      </w:r>
      <w:r w:rsidRPr="00391E7E">
        <w:rPr>
          <w:b/>
          <w:bCs/>
          <w:sz w:val="28"/>
          <w:szCs w:val="28"/>
          <w:lang w:val="vi-VN"/>
        </w:rPr>
        <w:t>25</w:t>
      </w:r>
      <w:r w:rsidRPr="00391E7E">
        <w:rPr>
          <w:b/>
          <w:bCs/>
          <w:sz w:val="28"/>
          <w:szCs w:val="28"/>
          <w:lang w:val="pt-BR"/>
        </w:rPr>
        <w:t>.700.000</w:t>
      </w:r>
      <w:r w:rsidRPr="00391E7E">
        <w:rPr>
          <w:sz w:val="28"/>
          <w:szCs w:val="28"/>
          <w:lang w:val="pt-BR"/>
        </w:rPr>
        <w:t xml:space="preserve"> cổ phiếu.</w:t>
      </w:r>
    </w:p>
    <w:p w14:paraId="50081E9B" w14:textId="77777777" w:rsidR="00735065" w:rsidRPr="00391E7E" w:rsidRDefault="00735065" w:rsidP="00223E18">
      <w:pPr>
        <w:numPr>
          <w:ilvl w:val="0"/>
          <w:numId w:val="2"/>
        </w:numPr>
        <w:spacing w:before="120" w:after="120" w:line="264" w:lineRule="auto"/>
        <w:ind w:left="714" w:hanging="357"/>
        <w:jc w:val="both"/>
        <w:rPr>
          <w:sz w:val="28"/>
          <w:szCs w:val="28"/>
          <w:lang w:val="pt-BR"/>
        </w:rPr>
      </w:pPr>
      <w:r w:rsidRPr="00391E7E">
        <w:rPr>
          <w:sz w:val="28"/>
          <w:szCs w:val="28"/>
          <w:lang w:val="pt-BR"/>
        </w:rPr>
        <w:t>Tổng</w:t>
      </w:r>
      <w:r w:rsidRPr="00391E7E">
        <w:rPr>
          <w:sz w:val="28"/>
          <w:szCs w:val="28"/>
          <w:lang w:val="vi-VN"/>
        </w:rPr>
        <w:t xml:space="preserve"> giá</w:t>
      </w:r>
      <w:r w:rsidRPr="00391E7E">
        <w:rPr>
          <w:sz w:val="28"/>
          <w:szCs w:val="28"/>
          <w:lang w:val="pt-BR"/>
        </w:rPr>
        <w:t xml:space="preserve"> trị</w:t>
      </w:r>
      <w:r w:rsidRPr="00391E7E">
        <w:rPr>
          <w:sz w:val="28"/>
          <w:szCs w:val="28"/>
          <w:lang w:val="vi-VN"/>
        </w:rPr>
        <w:t xml:space="preserve"> cổ phiếu  chào bán: </w:t>
      </w:r>
      <w:r w:rsidRPr="00391E7E">
        <w:rPr>
          <w:b/>
          <w:bCs/>
          <w:sz w:val="28"/>
          <w:szCs w:val="28"/>
          <w:lang w:val="vi-VN"/>
        </w:rPr>
        <w:t>25</w:t>
      </w:r>
      <w:r w:rsidRPr="00391E7E">
        <w:rPr>
          <w:b/>
          <w:bCs/>
          <w:sz w:val="28"/>
          <w:szCs w:val="28"/>
        </w:rPr>
        <w:t>7</w:t>
      </w:r>
      <w:r w:rsidRPr="00391E7E">
        <w:rPr>
          <w:b/>
          <w:bCs/>
          <w:sz w:val="28"/>
          <w:szCs w:val="28"/>
          <w:lang w:val="vi-VN"/>
        </w:rPr>
        <w:t>.</w:t>
      </w:r>
      <w:r w:rsidRPr="00391E7E">
        <w:rPr>
          <w:b/>
          <w:bCs/>
          <w:sz w:val="28"/>
          <w:szCs w:val="28"/>
          <w:lang w:val="pt-BR"/>
        </w:rPr>
        <w:t>000.000.000</w:t>
      </w:r>
      <w:r w:rsidRPr="00391E7E">
        <w:rPr>
          <w:sz w:val="28"/>
          <w:szCs w:val="28"/>
          <w:lang w:val="vi-VN"/>
        </w:rPr>
        <w:t xml:space="preserve"> đồng (tính theo mệnh giá)</w:t>
      </w:r>
      <w:r w:rsidRPr="00391E7E">
        <w:rPr>
          <w:sz w:val="28"/>
          <w:szCs w:val="28"/>
          <w:lang w:val="pt-BR"/>
        </w:rPr>
        <w:t>.</w:t>
      </w:r>
    </w:p>
    <w:p w14:paraId="628B107A" w14:textId="77777777" w:rsidR="00735065" w:rsidRPr="00391E7E" w:rsidRDefault="00735065" w:rsidP="00223E18">
      <w:pPr>
        <w:numPr>
          <w:ilvl w:val="0"/>
          <w:numId w:val="2"/>
        </w:numPr>
        <w:spacing w:before="120" w:after="120" w:line="264" w:lineRule="auto"/>
        <w:ind w:left="714" w:hanging="357"/>
        <w:jc w:val="both"/>
        <w:rPr>
          <w:sz w:val="28"/>
          <w:szCs w:val="28"/>
          <w:lang w:val="pt-BR"/>
        </w:rPr>
      </w:pPr>
      <w:r w:rsidRPr="00391E7E">
        <w:rPr>
          <w:sz w:val="28"/>
          <w:szCs w:val="28"/>
          <w:lang w:val="pt-BR"/>
        </w:rPr>
        <w:t>Giá chào bán: 10.000 đồng/cổ phiếu.</w:t>
      </w:r>
    </w:p>
    <w:p w14:paraId="0C0405F2" w14:textId="77777777" w:rsidR="00735065" w:rsidRPr="00391E7E" w:rsidRDefault="00735065" w:rsidP="00223E18">
      <w:pPr>
        <w:numPr>
          <w:ilvl w:val="0"/>
          <w:numId w:val="2"/>
        </w:numPr>
        <w:spacing w:before="120" w:after="120" w:line="264" w:lineRule="auto"/>
        <w:ind w:left="714" w:hanging="357"/>
        <w:jc w:val="both"/>
        <w:rPr>
          <w:sz w:val="28"/>
          <w:szCs w:val="28"/>
          <w:lang w:val="pt-BR"/>
        </w:rPr>
      </w:pPr>
      <w:r w:rsidRPr="00391E7E">
        <w:rPr>
          <w:sz w:val="28"/>
          <w:szCs w:val="28"/>
          <w:lang w:val="pt-BR"/>
        </w:rPr>
        <w:t xml:space="preserve">Thời gian chào bán: Trong năm 2021, sau khi </w:t>
      </w:r>
      <w:r w:rsidRPr="00391E7E">
        <w:rPr>
          <w:sz w:val="28"/>
          <w:szCs w:val="28"/>
          <w:lang w:val="vi-VN"/>
        </w:rPr>
        <w:t>Ủy ban Chứng khoán Nhà nước có chấp thuận bằng văn bản và đăng tải trên trang thông tin điện tử của Ủy ban Chứng khoán Nhà nước về việc nhận được đầy đủ hồ sơ đăng ký chào bán cổ phiếu riêng lẻ của tổ chức phát hành</w:t>
      </w:r>
      <w:r w:rsidRPr="00391E7E">
        <w:rPr>
          <w:sz w:val="28"/>
          <w:szCs w:val="28"/>
          <w:lang w:val="pt-BR"/>
        </w:rPr>
        <w:t>.</w:t>
      </w:r>
    </w:p>
    <w:p w14:paraId="1164BE6D" w14:textId="77777777" w:rsidR="00735065" w:rsidRPr="00391E7E" w:rsidRDefault="00735065" w:rsidP="00223E18">
      <w:pPr>
        <w:widowControl w:val="0"/>
        <w:numPr>
          <w:ilvl w:val="0"/>
          <w:numId w:val="6"/>
        </w:numPr>
        <w:tabs>
          <w:tab w:val="left" w:pos="360"/>
        </w:tabs>
        <w:suppressAutoHyphens/>
        <w:snapToGrid w:val="0"/>
        <w:spacing w:before="120" w:after="120" w:line="264" w:lineRule="auto"/>
        <w:jc w:val="both"/>
        <w:rPr>
          <w:b/>
          <w:bCs/>
          <w:sz w:val="28"/>
          <w:szCs w:val="28"/>
          <w:lang w:val="pt-BR"/>
        </w:rPr>
      </w:pPr>
      <w:r w:rsidRPr="00391E7E">
        <w:rPr>
          <w:b/>
          <w:bCs/>
          <w:sz w:val="28"/>
          <w:szCs w:val="28"/>
          <w:lang w:val="pt-BR"/>
        </w:rPr>
        <w:t xml:space="preserve"> </w:t>
      </w:r>
      <w:r w:rsidRPr="00391E7E">
        <w:rPr>
          <w:b/>
          <w:sz w:val="28"/>
          <w:szCs w:val="28"/>
        </w:rPr>
        <w:t>Đ</w:t>
      </w:r>
      <w:r w:rsidRPr="00391E7E">
        <w:rPr>
          <w:b/>
          <w:bCs/>
          <w:sz w:val="28"/>
          <w:szCs w:val="28"/>
          <w:lang w:val="pt-BR"/>
        </w:rPr>
        <w:t xml:space="preserve">ối tượng </w:t>
      </w:r>
      <w:r w:rsidRPr="00391E7E">
        <w:rPr>
          <w:b/>
          <w:bCs/>
          <w:sz w:val="28"/>
          <w:szCs w:val="28"/>
          <w:lang w:val="vi-VN"/>
        </w:rPr>
        <w:t xml:space="preserve">và phương thức </w:t>
      </w:r>
      <w:r w:rsidRPr="00391E7E">
        <w:rPr>
          <w:b/>
          <w:bCs/>
          <w:sz w:val="28"/>
          <w:szCs w:val="28"/>
          <w:lang w:val="pt-BR"/>
        </w:rPr>
        <w:t>được chào bán</w:t>
      </w:r>
    </w:p>
    <w:p w14:paraId="60EA2733" w14:textId="77777777" w:rsidR="00735065" w:rsidRPr="00391E7E" w:rsidRDefault="00735065" w:rsidP="00223E18">
      <w:pPr>
        <w:numPr>
          <w:ilvl w:val="0"/>
          <w:numId w:val="2"/>
        </w:numPr>
        <w:spacing w:before="120" w:after="120" w:line="264" w:lineRule="auto"/>
        <w:ind w:left="714" w:hanging="357"/>
        <w:jc w:val="both"/>
        <w:rPr>
          <w:sz w:val="28"/>
          <w:szCs w:val="28"/>
          <w:lang w:val="pt-BR"/>
        </w:rPr>
      </w:pPr>
      <w:r w:rsidRPr="00391E7E">
        <w:rPr>
          <w:sz w:val="28"/>
          <w:szCs w:val="28"/>
          <w:lang w:val="pt-BR"/>
        </w:rPr>
        <w:lastRenderedPageBreak/>
        <w:t>Đối tượng được chào bán</w:t>
      </w:r>
      <w:r w:rsidRPr="00391E7E">
        <w:rPr>
          <w:sz w:val="28"/>
          <w:szCs w:val="28"/>
          <w:lang w:val="vi-VN"/>
        </w:rPr>
        <w:t>:</w:t>
      </w:r>
      <w:r w:rsidRPr="00391E7E">
        <w:rPr>
          <w:sz w:val="28"/>
          <w:szCs w:val="28"/>
          <w:lang w:val="pt-BR"/>
        </w:rPr>
        <w:t xml:space="preserve"> nhà</w:t>
      </w:r>
      <w:r w:rsidRPr="00391E7E">
        <w:rPr>
          <w:sz w:val="28"/>
          <w:szCs w:val="28"/>
          <w:lang w:val="vi-VN"/>
        </w:rPr>
        <w:t xml:space="preserve"> đầu tư chứng khoán chuyên nghiệp trong nước </w:t>
      </w:r>
      <w:r w:rsidRPr="00391E7E">
        <w:rPr>
          <w:sz w:val="28"/>
          <w:szCs w:val="28"/>
          <w:lang w:val="pt-BR"/>
        </w:rPr>
        <w:t xml:space="preserve">theo quy định của pháp luật: </w:t>
      </w:r>
    </w:p>
    <w:p w14:paraId="11EEB3EF" w14:textId="77777777" w:rsidR="00735065" w:rsidRPr="00391E7E" w:rsidRDefault="00735065" w:rsidP="00223E18">
      <w:pPr>
        <w:numPr>
          <w:ilvl w:val="0"/>
          <w:numId w:val="2"/>
        </w:numPr>
        <w:spacing w:before="120" w:after="120" w:line="264" w:lineRule="auto"/>
        <w:jc w:val="both"/>
        <w:rPr>
          <w:sz w:val="28"/>
          <w:szCs w:val="28"/>
          <w:lang w:val="vi-VN"/>
        </w:rPr>
      </w:pPr>
      <w:r w:rsidRPr="00391E7E">
        <w:rPr>
          <w:sz w:val="28"/>
          <w:szCs w:val="28"/>
          <w:lang w:val="vi-VN"/>
        </w:rPr>
        <w:t xml:space="preserve">Tiêu chí lựa chọn nhà đầu tư </w:t>
      </w:r>
      <w:r w:rsidRPr="00391E7E">
        <w:rPr>
          <w:sz w:val="28"/>
          <w:szCs w:val="28"/>
        </w:rPr>
        <w:t>chứng khoán chuyên nghiệp</w:t>
      </w:r>
      <w:r w:rsidRPr="00391E7E">
        <w:rPr>
          <w:sz w:val="28"/>
          <w:szCs w:val="28"/>
          <w:lang w:val="vi-VN"/>
        </w:rPr>
        <w:t>:</w:t>
      </w:r>
    </w:p>
    <w:p w14:paraId="0D799A97" w14:textId="77777777" w:rsidR="00735065" w:rsidRPr="00391E7E" w:rsidRDefault="00735065" w:rsidP="00223E18">
      <w:pPr>
        <w:widowControl w:val="0"/>
        <w:numPr>
          <w:ilvl w:val="1"/>
          <w:numId w:val="1"/>
        </w:numPr>
        <w:tabs>
          <w:tab w:val="left" w:pos="360"/>
        </w:tabs>
        <w:suppressAutoHyphens/>
        <w:snapToGrid w:val="0"/>
        <w:spacing w:before="120" w:after="120" w:line="264" w:lineRule="auto"/>
        <w:ind w:left="810"/>
        <w:jc w:val="both"/>
        <w:rPr>
          <w:bCs/>
          <w:sz w:val="28"/>
          <w:szCs w:val="28"/>
          <w:lang w:val="vi-VN"/>
        </w:rPr>
      </w:pPr>
      <w:r w:rsidRPr="00391E7E">
        <w:rPr>
          <w:bCs/>
          <w:sz w:val="28"/>
          <w:szCs w:val="28"/>
          <w:lang w:val="vi-VN"/>
        </w:rPr>
        <w:t>Là các cá nhân, tổ chức trong</w:t>
      </w:r>
      <w:r w:rsidRPr="00391E7E">
        <w:rPr>
          <w:bCs/>
          <w:sz w:val="28"/>
          <w:szCs w:val="28"/>
        </w:rPr>
        <w:t xml:space="preserve"> nước</w:t>
      </w:r>
      <w:r w:rsidRPr="00391E7E">
        <w:rPr>
          <w:bCs/>
          <w:sz w:val="28"/>
          <w:szCs w:val="28"/>
          <w:lang w:val="vi-VN"/>
        </w:rPr>
        <w:t>;</w:t>
      </w:r>
    </w:p>
    <w:p w14:paraId="0D2C4044" w14:textId="77777777" w:rsidR="00735065" w:rsidRPr="00391E7E" w:rsidRDefault="00735065" w:rsidP="00223E18">
      <w:pPr>
        <w:widowControl w:val="0"/>
        <w:numPr>
          <w:ilvl w:val="1"/>
          <w:numId w:val="1"/>
        </w:numPr>
        <w:tabs>
          <w:tab w:val="left" w:pos="360"/>
        </w:tabs>
        <w:suppressAutoHyphens/>
        <w:snapToGrid w:val="0"/>
        <w:spacing w:before="120" w:after="120" w:line="264" w:lineRule="auto"/>
        <w:ind w:left="450" w:firstLine="0"/>
        <w:jc w:val="both"/>
        <w:rPr>
          <w:bCs/>
          <w:sz w:val="28"/>
          <w:szCs w:val="28"/>
          <w:lang w:val="vi-VN"/>
        </w:rPr>
      </w:pPr>
      <w:r w:rsidRPr="00391E7E">
        <w:rPr>
          <w:bCs/>
          <w:sz w:val="28"/>
          <w:szCs w:val="28"/>
        </w:rPr>
        <w:t>Đáp ứng các tiêu chuẩn nhà đầu tư chứng khoán chuyên nghiệp theo quy định của Luật Chứng khoán 2019 và các văn bản hướng dẫn liên quan.</w:t>
      </w:r>
    </w:p>
    <w:p w14:paraId="75AA2706" w14:textId="77777777" w:rsidR="00735065" w:rsidRPr="00391E7E" w:rsidRDefault="00735065" w:rsidP="00223E18">
      <w:pPr>
        <w:widowControl w:val="0"/>
        <w:numPr>
          <w:ilvl w:val="1"/>
          <w:numId w:val="1"/>
        </w:numPr>
        <w:tabs>
          <w:tab w:val="left" w:pos="360"/>
        </w:tabs>
        <w:suppressAutoHyphens/>
        <w:snapToGrid w:val="0"/>
        <w:spacing w:before="120" w:after="120" w:line="264" w:lineRule="auto"/>
        <w:ind w:left="720" w:hanging="270"/>
        <w:jc w:val="both"/>
        <w:rPr>
          <w:bCs/>
          <w:sz w:val="28"/>
          <w:szCs w:val="28"/>
          <w:lang w:val="vi-VN"/>
        </w:rPr>
      </w:pPr>
      <w:r w:rsidRPr="00391E7E">
        <w:rPr>
          <w:bCs/>
          <w:sz w:val="28"/>
          <w:szCs w:val="28"/>
        </w:rPr>
        <w:t>Có xác nhận của tổ chức đủ thẩm quyền  hoặc</w:t>
      </w:r>
      <w:r w:rsidRPr="00391E7E">
        <w:rPr>
          <w:bCs/>
          <w:sz w:val="28"/>
          <w:szCs w:val="28"/>
          <w:lang w:val="vi-VN"/>
        </w:rPr>
        <w:t xml:space="preserve"> có tài liệu hợp pháp chứng minh đủ </w:t>
      </w:r>
      <w:r w:rsidRPr="00391E7E">
        <w:rPr>
          <w:bCs/>
          <w:sz w:val="28"/>
          <w:szCs w:val="28"/>
        </w:rPr>
        <w:t>tư cách nhà đầu tư chứng khoán chuyên nghiệp</w:t>
      </w:r>
      <w:r w:rsidRPr="00391E7E">
        <w:rPr>
          <w:bCs/>
          <w:sz w:val="28"/>
          <w:szCs w:val="28"/>
          <w:lang w:val="vi-VN"/>
        </w:rPr>
        <w:t xml:space="preserve"> theo quy định của pháp luật</w:t>
      </w:r>
    </w:p>
    <w:p w14:paraId="1BA80579" w14:textId="31291539" w:rsidR="00735065" w:rsidRPr="00391E7E" w:rsidRDefault="00223E18" w:rsidP="00223E18">
      <w:pPr>
        <w:widowControl w:val="0"/>
        <w:numPr>
          <w:ilvl w:val="1"/>
          <w:numId w:val="1"/>
        </w:numPr>
        <w:tabs>
          <w:tab w:val="left" w:pos="360"/>
        </w:tabs>
        <w:suppressAutoHyphens/>
        <w:snapToGrid w:val="0"/>
        <w:spacing w:before="120" w:after="120" w:line="264" w:lineRule="auto"/>
        <w:ind w:left="630" w:hanging="180"/>
        <w:jc w:val="both"/>
        <w:rPr>
          <w:bCs/>
          <w:sz w:val="28"/>
          <w:szCs w:val="28"/>
          <w:lang w:val="vi-VN"/>
        </w:rPr>
      </w:pPr>
      <w:r>
        <w:rPr>
          <w:bCs/>
          <w:sz w:val="28"/>
          <w:szCs w:val="28"/>
        </w:rPr>
        <w:t xml:space="preserve">  </w:t>
      </w:r>
      <w:r w:rsidR="00735065" w:rsidRPr="00391E7E">
        <w:rPr>
          <w:bCs/>
          <w:sz w:val="28"/>
          <w:szCs w:val="28"/>
          <w:lang w:val="vi-VN"/>
        </w:rPr>
        <w:t>Có năng lực tài chính, trình độ công nghệ, chuyên môn phù hợp với chiến lược phát triển của Công ty.</w:t>
      </w:r>
    </w:p>
    <w:p w14:paraId="17E6A2D7" w14:textId="77777777" w:rsidR="00735065" w:rsidRPr="00391E7E" w:rsidRDefault="00735065" w:rsidP="00223E18">
      <w:pPr>
        <w:widowControl w:val="0"/>
        <w:numPr>
          <w:ilvl w:val="0"/>
          <w:numId w:val="3"/>
        </w:numPr>
        <w:tabs>
          <w:tab w:val="left" w:pos="360"/>
        </w:tabs>
        <w:suppressAutoHyphens/>
        <w:snapToGrid w:val="0"/>
        <w:spacing w:before="120" w:after="120" w:line="264" w:lineRule="auto"/>
        <w:jc w:val="both"/>
        <w:rPr>
          <w:bCs/>
          <w:sz w:val="28"/>
          <w:szCs w:val="28"/>
          <w:lang w:val="vi-VN"/>
        </w:rPr>
      </w:pPr>
      <w:r w:rsidRPr="00391E7E">
        <w:rPr>
          <w:sz w:val="28"/>
          <w:szCs w:val="28"/>
          <w:lang w:val="vi-VN"/>
        </w:rPr>
        <w:t xml:space="preserve">Danh sách, số lượng nhà đầu tư được chào bán: </w:t>
      </w:r>
    </w:p>
    <w:p w14:paraId="0601C835" w14:textId="77777777" w:rsidR="00735065" w:rsidRPr="00391E7E" w:rsidRDefault="00735065" w:rsidP="00223E18">
      <w:pPr>
        <w:widowControl w:val="0"/>
        <w:numPr>
          <w:ilvl w:val="1"/>
          <w:numId w:val="1"/>
        </w:numPr>
        <w:tabs>
          <w:tab w:val="left" w:pos="360"/>
        </w:tabs>
        <w:suppressAutoHyphens/>
        <w:snapToGrid w:val="0"/>
        <w:spacing w:before="120" w:after="120" w:line="264" w:lineRule="auto"/>
        <w:ind w:left="810" w:firstLine="0"/>
        <w:jc w:val="both"/>
        <w:rPr>
          <w:bCs/>
          <w:sz w:val="28"/>
          <w:szCs w:val="28"/>
          <w:lang w:val="vi-VN"/>
        </w:rPr>
      </w:pPr>
      <w:r w:rsidRPr="00391E7E">
        <w:rPr>
          <w:bCs/>
          <w:sz w:val="28"/>
          <w:szCs w:val="28"/>
        </w:rPr>
        <w:t>Số</w:t>
      </w:r>
      <w:r w:rsidRPr="00391E7E">
        <w:rPr>
          <w:sz w:val="28"/>
          <w:szCs w:val="28"/>
          <w:lang w:val="vi-VN"/>
        </w:rPr>
        <w:t xml:space="preserve"> lượng nhà đầu tư được chào bán: 15 (mười lăm) nhà đầu tư chứng khoán chuyên nghiệp</w:t>
      </w:r>
    </w:p>
    <w:p w14:paraId="0D6A5247" w14:textId="77777777" w:rsidR="00735065" w:rsidRPr="00391E7E" w:rsidRDefault="00735065" w:rsidP="00223E18">
      <w:pPr>
        <w:widowControl w:val="0"/>
        <w:numPr>
          <w:ilvl w:val="1"/>
          <w:numId w:val="1"/>
        </w:numPr>
        <w:tabs>
          <w:tab w:val="left" w:pos="360"/>
        </w:tabs>
        <w:suppressAutoHyphens/>
        <w:snapToGrid w:val="0"/>
        <w:spacing w:before="120" w:after="120" w:line="264" w:lineRule="auto"/>
        <w:ind w:left="810" w:firstLine="0"/>
        <w:jc w:val="both"/>
        <w:rPr>
          <w:sz w:val="28"/>
          <w:szCs w:val="28"/>
        </w:rPr>
      </w:pPr>
      <w:r w:rsidRPr="00391E7E">
        <w:rPr>
          <w:sz w:val="28"/>
          <w:szCs w:val="28"/>
          <w:lang w:val="vi-VN"/>
        </w:rPr>
        <w:t xml:space="preserve">Danh sách nhà đầu tư và số lượng chào bán cho từng nhà đầu tư: Uỷ quyền cho Hội đồng Quản trị lựa chọn và quyết định danh sách nhà đầu tư chứng khoán chuyên nghiệp được chào bán cùng với số lượng cổ phiếu chào bán cho từng nhà đầu tư, theo các tiêu chí nêu tại Phương án này. </w:t>
      </w:r>
    </w:p>
    <w:p w14:paraId="42E32A09" w14:textId="77777777" w:rsidR="00735065" w:rsidRPr="00391E7E" w:rsidRDefault="00735065" w:rsidP="00223E18">
      <w:pPr>
        <w:widowControl w:val="0"/>
        <w:numPr>
          <w:ilvl w:val="0"/>
          <w:numId w:val="3"/>
        </w:numPr>
        <w:tabs>
          <w:tab w:val="left" w:pos="360"/>
        </w:tabs>
        <w:suppressAutoHyphens/>
        <w:snapToGrid w:val="0"/>
        <w:spacing w:before="120" w:after="120" w:line="264" w:lineRule="auto"/>
        <w:jc w:val="both"/>
        <w:rPr>
          <w:sz w:val="28"/>
          <w:szCs w:val="28"/>
        </w:rPr>
      </w:pPr>
      <w:r w:rsidRPr="00391E7E">
        <w:rPr>
          <w:sz w:val="28"/>
          <w:szCs w:val="28"/>
          <w:lang w:val="pt-BR"/>
        </w:rPr>
        <w:t>Phương thức chào</w:t>
      </w:r>
      <w:r w:rsidRPr="00391E7E">
        <w:rPr>
          <w:sz w:val="28"/>
          <w:szCs w:val="28"/>
          <w:lang w:val="vi-VN"/>
        </w:rPr>
        <w:t xml:space="preserve"> bán</w:t>
      </w:r>
      <w:r w:rsidRPr="00391E7E">
        <w:rPr>
          <w:sz w:val="28"/>
          <w:szCs w:val="28"/>
          <w:lang w:val="pt-BR"/>
        </w:rPr>
        <w:t>: chào</w:t>
      </w:r>
      <w:r w:rsidRPr="00391E7E">
        <w:rPr>
          <w:sz w:val="28"/>
          <w:szCs w:val="28"/>
          <w:lang w:val="vi-VN"/>
        </w:rPr>
        <w:t xml:space="preserve"> bán trực tiếp theo danh sách nhà đầu tư chứng khoán chuyên nghiệp đã được Hội đồng Quản trị phê duyệt.</w:t>
      </w:r>
    </w:p>
    <w:p w14:paraId="1FD0769C" w14:textId="77777777" w:rsidR="00735065" w:rsidRPr="00391E7E" w:rsidRDefault="00735065" w:rsidP="00223E18">
      <w:pPr>
        <w:widowControl w:val="0"/>
        <w:numPr>
          <w:ilvl w:val="0"/>
          <w:numId w:val="3"/>
        </w:numPr>
        <w:tabs>
          <w:tab w:val="left" w:pos="360"/>
        </w:tabs>
        <w:suppressAutoHyphens/>
        <w:snapToGrid w:val="0"/>
        <w:spacing w:before="120" w:after="120" w:line="264" w:lineRule="auto"/>
        <w:jc w:val="both"/>
        <w:rPr>
          <w:sz w:val="28"/>
          <w:szCs w:val="28"/>
        </w:rPr>
      </w:pPr>
      <w:r w:rsidRPr="00391E7E">
        <w:rPr>
          <w:sz w:val="28"/>
          <w:szCs w:val="28"/>
          <w:lang w:val="pt-BR"/>
        </w:rPr>
        <w:t>Phương</w:t>
      </w:r>
      <w:r w:rsidRPr="00391E7E">
        <w:rPr>
          <w:sz w:val="28"/>
          <w:szCs w:val="28"/>
          <w:lang w:val="vi-VN"/>
        </w:rPr>
        <w:t xml:space="preserve"> thức phân phối:</w:t>
      </w:r>
    </w:p>
    <w:p w14:paraId="1B630242" w14:textId="77777777" w:rsidR="00735065" w:rsidRPr="00391E7E" w:rsidRDefault="00735065" w:rsidP="00223E18">
      <w:pPr>
        <w:widowControl w:val="0"/>
        <w:numPr>
          <w:ilvl w:val="1"/>
          <w:numId w:val="1"/>
        </w:numPr>
        <w:tabs>
          <w:tab w:val="left" w:pos="360"/>
        </w:tabs>
        <w:suppressAutoHyphens/>
        <w:snapToGrid w:val="0"/>
        <w:spacing w:before="120" w:after="120" w:line="264" w:lineRule="auto"/>
        <w:ind w:left="1170"/>
        <w:jc w:val="both"/>
        <w:rPr>
          <w:sz w:val="28"/>
          <w:szCs w:val="28"/>
        </w:rPr>
      </w:pPr>
      <w:r w:rsidRPr="00391E7E">
        <w:rPr>
          <w:sz w:val="28"/>
          <w:szCs w:val="28"/>
        </w:rPr>
        <w:t>Khối</w:t>
      </w:r>
      <w:r w:rsidRPr="00391E7E">
        <w:rPr>
          <w:sz w:val="28"/>
          <w:szCs w:val="28"/>
          <w:lang w:val="vi-VN"/>
        </w:rPr>
        <w:t xml:space="preserve"> lượng đặt mua tối thiểu: không có</w:t>
      </w:r>
    </w:p>
    <w:p w14:paraId="405A71AC" w14:textId="77777777" w:rsidR="00735065" w:rsidRPr="00391E7E" w:rsidRDefault="00735065" w:rsidP="00223E18">
      <w:pPr>
        <w:widowControl w:val="0"/>
        <w:numPr>
          <w:ilvl w:val="1"/>
          <w:numId w:val="1"/>
        </w:numPr>
        <w:tabs>
          <w:tab w:val="left" w:pos="360"/>
        </w:tabs>
        <w:suppressAutoHyphens/>
        <w:snapToGrid w:val="0"/>
        <w:spacing w:before="120" w:after="120" w:line="264" w:lineRule="auto"/>
        <w:ind w:left="810" w:firstLine="0"/>
        <w:jc w:val="both"/>
        <w:rPr>
          <w:sz w:val="28"/>
          <w:szCs w:val="28"/>
        </w:rPr>
      </w:pPr>
      <w:r w:rsidRPr="00391E7E">
        <w:rPr>
          <w:sz w:val="28"/>
          <w:szCs w:val="28"/>
          <w:lang w:val="vi-VN"/>
        </w:rPr>
        <w:t>Chuyển nhượng quyền mua: nhà đầu tư chứng khoán chuyên nghiệp được được phân bổ quyền mua theo danh sách đã được phê duyệt, trong trường hợp này, không được chuyển nhượng quyền mua cho đối tượng khác</w:t>
      </w:r>
    </w:p>
    <w:p w14:paraId="68C7A933" w14:textId="77777777" w:rsidR="00735065" w:rsidRPr="00391E7E" w:rsidRDefault="00735065" w:rsidP="00223E18">
      <w:pPr>
        <w:widowControl w:val="0"/>
        <w:numPr>
          <w:ilvl w:val="0"/>
          <w:numId w:val="6"/>
        </w:numPr>
        <w:tabs>
          <w:tab w:val="left" w:pos="360"/>
        </w:tabs>
        <w:suppressAutoHyphens/>
        <w:snapToGrid w:val="0"/>
        <w:spacing w:before="120" w:after="120" w:line="264" w:lineRule="auto"/>
        <w:jc w:val="both"/>
        <w:rPr>
          <w:b/>
          <w:bCs/>
          <w:sz w:val="28"/>
          <w:szCs w:val="28"/>
        </w:rPr>
      </w:pPr>
      <w:r w:rsidRPr="00391E7E">
        <w:rPr>
          <w:b/>
          <w:bCs/>
          <w:sz w:val="28"/>
          <w:szCs w:val="28"/>
        </w:rPr>
        <w:t>Hạn</w:t>
      </w:r>
      <w:r w:rsidRPr="00391E7E">
        <w:rPr>
          <w:b/>
          <w:bCs/>
          <w:sz w:val="28"/>
          <w:szCs w:val="28"/>
          <w:lang w:val="vi-VN"/>
        </w:rPr>
        <w:t xml:space="preserve"> chế và tỷ lệ tham gia của nhà đầu tư nước ngoài</w:t>
      </w:r>
    </w:p>
    <w:p w14:paraId="4EB301F0" w14:textId="77777777" w:rsidR="00735065" w:rsidRPr="00391E7E" w:rsidRDefault="00735065" w:rsidP="00223E18">
      <w:pPr>
        <w:widowControl w:val="0"/>
        <w:numPr>
          <w:ilvl w:val="0"/>
          <w:numId w:val="3"/>
        </w:numPr>
        <w:tabs>
          <w:tab w:val="left" w:pos="360"/>
        </w:tabs>
        <w:suppressAutoHyphens/>
        <w:snapToGrid w:val="0"/>
        <w:spacing w:before="120" w:after="120" w:line="264" w:lineRule="auto"/>
        <w:jc w:val="both"/>
        <w:rPr>
          <w:sz w:val="28"/>
          <w:szCs w:val="28"/>
          <w:lang w:val="vi-VN"/>
        </w:rPr>
      </w:pPr>
      <w:r w:rsidRPr="00391E7E">
        <w:rPr>
          <w:sz w:val="28"/>
          <w:szCs w:val="28"/>
          <w:lang w:val="pt-BR"/>
        </w:rPr>
        <w:t>Hạn</w:t>
      </w:r>
      <w:r w:rsidRPr="00391E7E">
        <w:rPr>
          <w:sz w:val="28"/>
          <w:szCs w:val="28"/>
          <w:lang w:val="vi-VN"/>
        </w:rPr>
        <w:t xml:space="preserve"> chế chuyển nhượng: Cổ phiếu chào bán riêng lẻ cho nhà đầu tư chứng khoán chuyên nghiệp bị hạn chế chuyển nhượng 01 (một) năm kể từ ngày hoàn thành đợt chào bán. Trừ trường hợp chuyển nhượng giữa nhà đầu tư chứng khoán chuyên nghiệp với nhau, hoặc thực hiện theo bản án, quyết định của Toà án có hiệu lực hoặc thừa kế theo quy định của pháp luật.</w:t>
      </w:r>
    </w:p>
    <w:p w14:paraId="445E2A0E" w14:textId="77777777" w:rsidR="00735065" w:rsidRPr="00391E7E" w:rsidRDefault="00735065" w:rsidP="00223E18">
      <w:pPr>
        <w:widowControl w:val="0"/>
        <w:numPr>
          <w:ilvl w:val="0"/>
          <w:numId w:val="3"/>
        </w:numPr>
        <w:tabs>
          <w:tab w:val="left" w:pos="360"/>
        </w:tabs>
        <w:suppressAutoHyphens/>
        <w:snapToGrid w:val="0"/>
        <w:spacing w:before="120" w:after="120" w:line="264" w:lineRule="auto"/>
        <w:jc w:val="both"/>
        <w:rPr>
          <w:sz w:val="28"/>
          <w:szCs w:val="28"/>
          <w:lang w:val="vi-VN"/>
        </w:rPr>
      </w:pPr>
      <w:r w:rsidRPr="00391E7E">
        <w:rPr>
          <w:sz w:val="28"/>
          <w:szCs w:val="28"/>
          <w:lang w:val="vi-VN"/>
        </w:rPr>
        <w:t>Giới hạn về tỷ lệ tham gia của nhà đầu tư nước ngoài: chi tiết theo Điều lệ Công ty, quy định của Pháp luật có liên quan</w:t>
      </w:r>
      <w:r w:rsidRPr="00391E7E">
        <w:rPr>
          <w:sz w:val="28"/>
          <w:szCs w:val="28"/>
        </w:rPr>
        <w:t xml:space="preserve"> đến ngành nghề của Công ty</w:t>
      </w:r>
      <w:r w:rsidRPr="00391E7E">
        <w:rPr>
          <w:sz w:val="28"/>
          <w:szCs w:val="28"/>
          <w:lang w:val="vi-VN"/>
        </w:rPr>
        <w:t xml:space="preserve">: </w:t>
      </w:r>
    </w:p>
    <w:p w14:paraId="6B803B11" w14:textId="77777777" w:rsidR="00735065" w:rsidRPr="00391E7E" w:rsidRDefault="00735065" w:rsidP="00223E18">
      <w:pPr>
        <w:widowControl w:val="0"/>
        <w:numPr>
          <w:ilvl w:val="1"/>
          <w:numId w:val="1"/>
        </w:numPr>
        <w:tabs>
          <w:tab w:val="left" w:pos="360"/>
        </w:tabs>
        <w:suppressAutoHyphens/>
        <w:snapToGrid w:val="0"/>
        <w:spacing w:before="120" w:after="120" w:line="264" w:lineRule="auto"/>
        <w:ind w:left="360" w:firstLine="0"/>
        <w:jc w:val="both"/>
        <w:rPr>
          <w:i/>
          <w:sz w:val="28"/>
          <w:szCs w:val="28"/>
        </w:rPr>
      </w:pPr>
      <w:r w:rsidRPr="00391E7E">
        <w:rPr>
          <w:bCs/>
          <w:sz w:val="28"/>
          <w:szCs w:val="28"/>
        </w:rPr>
        <w:t>Công</w:t>
      </w:r>
      <w:r w:rsidRPr="00391E7E">
        <w:rPr>
          <w:sz w:val="28"/>
          <w:szCs w:val="28"/>
        </w:rPr>
        <w:t xml:space="preserve"> ty có ngành nghề kinh doanh bất động sản, đây là ngành nghề kinh doanh có điều kiện áp dụng đối với nhà đầu tư nước ngoài theo Luật kinh doanh Bất động sản và không quy</w:t>
      </w:r>
      <w:r w:rsidRPr="00391E7E">
        <w:rPr>
          <w:sz w:val="28"/>
          <w:szCs w:val="28"/>
          <w:lang w:val="vi-VN"/>
        </w:rPr>
        <w:t xml:space="preserve"> định cụ thể điều kiện </w:t>
      </w:r>
      <w:r w:rsidRPr="00391E7E">
        <w:rPr>
          <w:sz w:val="28"/>
          <w:szCs w:val="28"/>
        </w:rPr>
        <w:t xml:space="preserve"> tỷ lệ sở hữu nước ngoài, vì vậy </w:t>
      </w:r>
      <w:r w:rsidRPr="00391E7E">
        <w:rPr>
          <w:sz w:val="28"/>
          <w:szCs w:val="28"/>
        </w:rPr>
        <w:lastRenderedPageBreak/>
        <w:t xml:space="preserve">theo quy định tại Điều 139 Nghị định 155/2020/NĐ-CP thì tỷ lệ sở hữu nước ngoài tại Licogi 13 – áp dụng với công ty đại chúng tối đa là </w:t>
      </w:r>
      <w:r w:rsidRPr="00391E7E">
        <w:rPr>
          <w:b/>
          <w:sz w:val="28"/>
          <w:szCs w:val="28"/>
        </w:rPr>
        <w:t>50%</w:t>
      </w:r>
      <w:r w:rsidRPr="00391E7E">
        <w:rPr>
          <w:sz w:val="28"/>
          <w:szCs w:val="28"/>
        </w:rPr>
        <w:t>.</w:t>
      </w:r>
    </w:p>
    <w:p w14:paraId="3166EF2A" w14:textId="77777777" w:rsidR="00735065" w:rsidRPr="00391E7E" w:rsidRDefault="00735065" w:rsidP="00223E18">
      <w:pPr>
        <w:widowControl w:val="0"/>
        <w:numPr>
          <w:ilvl w:val="1"/>
          <w:numId w:val="1"/>
        </w:numPr>
        <w:tabs>
          <w:tab w:val="left" w:pos="360"/>
        </w:tabs>
        <w:suppressAutoHyphens/>
        <w:snapToGrid w:val="0"/>
        <w:spacing w:before="120" w:after="120" w:line="264" w:lineRule="auto"/>
        <w:ind w:left="360" w:firstLine="0"/>
        <w:jc w:val="both"/>
        <w:rPr>
          <w:i/>
          <w:sz w:val="28"/>
          <w:szCs w:val="28"/>
        </w:rPr>
      </w:pPr>
      <w:r w:rsidRPr="00391E7E">
        <w:rPr>
          <w:sz w:val="28"/>
          <w:szCs w:val="28"/>
        </w:rPr>
        <w:t>Sở hữu của nhà đầu tư nước ngoài tại Công ty vào ngày 29/3/2021 (ngày chốt danh sách cổ đông gần nhất</w:t>
      </w:r>
      <w:bookmarkStart w:id="0" w:name="_GoBack"/>
      <w:bookmarkEnd w:id="0"/>
      <w:r w:rsidRPr="00391E7E">
        <w:rPr>
          <w:sz w:val="28"/>
          <w:szCs w:val="28"/>
        </w:rPr>
        <w:t xml:space="preserve">) là 15.104 cổ phần tương đương 0.02%. </w:t>
      </w:r>
      <w:r w:rsidRPr="00391E7E">
        <w:rPr>
          <w:sz w:val="28"/>
          <w:szCs w:val="28"/>
          <w:lang w:val="vi-VN"/>
        </w:rPr>
        <w:t xml:space="preserve"> Theo Phương án phát hành, đối tượng nhà đầu tư được chào bán là nhà đầu tư chứng khoán chuyên nghiệp trong nước, nên việc chào bán đảm bảo tỷ lệ sở hữu của nhà đầu tư nước ngoài theo tỷ lệ đã được quy định nêu trên. </w:t>
      </w:r>
    </w:p>
    <w:p w14:paraId="54F1FEFD" w14:textId="77777777" w:rsidR="00735065" w:rsidRPr="00391E7E" w:rsidRDefault="00735065" w:rsidP="00223E18">
      <w:pPr>
        <w:widowControl w:val="0"/>
        <w:numPr>
          <w:ilvl w:val="0"/>
          <w:numId w:val="6"/>
        </w:numPr>
        <w:tabs>
          <w:tab w:val="left" w:pos="360"/>
        </w:tabs>
        <w:suppressAutoHyphens/>
        <w:snapToGrid w:val="0"/>
        <w:spacing w:before="120" w:after="120" w:line="264" w:lineRule="auto"/>
        <w:ind w:firstLine="0"/>
        <w:jc w:val="both"/>
        <w:rPr>
          <w:b/>
          <w:bCs/>
          <w:sz w:val="28"/>
          <w:szCs w:val="28"/>
        </w:rPr>
      </w:pPr>
      <w:r w:rsidRPr="00391E7E">
        <w:rPr>
          <w:b/>
          <w:bCs/>
          <w:sz w:val="28"/>
          <w:szCs w:val="28"/>
        </w:rPr>
        <w:t>Phương</w:t>
      </w:r>
      <w:r w:rsidRPr="00391E7E">
        <w:rPr>
          <w:b/>
          <w:bCs/>
          <w:sz w:val="28"/>
          <w:szCs w:val="28"/>
          <w:lang w:val="vi-VN"/>
        </w:rPr>
        <w:t xml:space="preserve"> án </w:t>
      </w:r>
      <w:r w:rsidRPr="00391E7E">
        <w:rPr>
          <w:b/>
          <w:bCs/>
          <w:sz w:val="28"/>
          <w:szCs w:val="28"/>
        </w:rPr>
        <w:t>xử lý cổ phiếu không bán hết (nếu có)</w:t>
      </w:r>
    </w:p>
    <w:p w14:paraId="62D01CDB" w14:textId="77777777" w:rsidR="00735065" w:rsidRPr="00391E7E" w:rsidRDefault="00735065" w:rsidP="00223E18">
      <w:pPr>
        <w:spacing w:before="120" w:after="120" w:line="264" w:lineRule="auto"/>
        <w:ind w:firstLine="720"/>
        <w:jc w:val="both"/>
        <w:rPr>
          <w:sz w:val="28"/>
          <w:szCs w:val="28"/>
          <w:lang w:val="pt-BR"/>
        </w:rPr>
      </w:pPr>
      <w:r w:rsidRPr="00391E7E">
        <w:rPr>
          <w:sz w:val="28"/>
          <w:szCs w:val="28"/>
          <w:lang w:val="pt-BR"/>
        </w:rPr>
        <w:t>Trường hợp kết thúc đợt chào bán, nhà đầu tư chứng khoán chuyên nghiệp không mua hết số lượng cổ phiếu dự kiến</w:t>
      </w:r>
      <w:r w:rsidRPr="00391E7E">
        <w:rPr>
          <w:sz w:val="28"/>
          <w:szCs w:val="28"/>
          <w:lang w:val="vi-VN"/>
        </w:rPr>
        <w:t xml:space="preserve"> chào bán</w:t>
      </w:r>
      <w:r w:rsidRPr="00391E7E">
        <w:rPr>
          <w:sz w:val="28"/>
          <w:szCs w:val="28"/>
          <w:lang w:val="pt-BR"/>
        </w:rPr>
        <w:t>,</w:t>
      </w:r>
      <w:r w:rsidRPr="00391E7E">
        <w:rPr>
          <w:sz w:val="28"/>
          <w:szCs w:val="28"/>
          <w:lang w:val="vi-VN"/>
        </w:rPr>
        <w:t xml:space="preserve"> Đại hội đồng cổ đông uỷ quyền  cho </w:t>
      </w:r>
      <w:r w:rsidRPr="00391E7E">
        <w:rPr>
          <w:sz w:val="28"/>
          <w:szCs w:val="28"/>
          <w:lang w:val="pt-BR"/>
        </w:rPr>
        <w:t xml:space="preserve">Hội đồng quản trị </w:t>
      </w:r>
      <w:r w:rsidRPr="00391E7E">
        <w:rPr>
          <w:iCs/>
          <w:sz w:val="28"/>
          <w:szCs w:val="28"/>
          <w:lang w:val="pt-BR"/>
        </w:rPr>
        <w:t>chào bán tiếp</w:t>
      </w:r>
      <w:r w:rsidRPr="00391E7E">
        <w:rPr>
          <w:sz w:val="28"/>
          <w:szCs w:val="28"/>
          <w:lang w:val="pt-BR"/>
        </w:rPr>
        <w:t xml:space="preserve"> cho các đối tượng nhà đầu tư chứng khoán chuyên nghiệp khác với điều kiện không thay đổi </w:t>
      </w:r>
      <w:r w:rsidRPr="00391E7E">
        <w:rPr>
          <w:iCs/>
          <w:sz w:val="28"/>
          <w:szCs w:val="28"/>
          <w:lang w:val="pt-BR"/>
        </w:rPr>
        <w:t>hoặc hủy bỏ</w:t>
      </w:r>
      <w:r w:rsidRPr="00391E7E">
        <w:rPr>
          <w:sz w:val="28"/>
          <w:szCs w:val="28"/>
          <w:lang w:val="pt-BR"/>
        </w:rPr>
        <w:t xml:space="preserve"> số lượng cổ phiếu không bán hết này.</w:t>
      </w:r>
    </w:p>
    <w:p w14:paraId="60C26EBE" w14:textId="77777777" w:rsidR="00735065" w:rsidRPr="00391E7E" w:rsidRDefault="00735065" w:rsidP="00223E18">
      <w:pPr>
        <w:numPr>
          <w:ilvl w:val="0"/>
          <w:numId w:val="7"/>
        </w:numPr>
        <w:spacing w:before="120" w:after="120" w:line="264" w:lineRule="auto"/>
        <w:contextualSpacing/>
        <w:jc w:val="both"/>
        <w:rPr>
          <w:b/>
          <w:bCs/>
          <w:iCs/>
          <w:spacing w:val="-4"/>
          <w:sz w:val="28"/>
          <w:szCs w:val="28"/>
          <w:lang w:val="vi-VN"/>
        </w:rPr>
      </w:pPr>
      <w:r w:rsidRPr="00391E7E">
        <w:rPr>
          <w:b/>
          <w:bCs/>
          <w:iCs/>
          <w:spacing w:val="-4"/>
          <w:sz w:val="28"/>
          <w:szCs w:val="28"/>
          <w:lang w:val="vi-VN"/>
        </w:rPr>
        <w:t>MỤC ĐÍCH VÀ PHƯƠNG ÁN SỬ DỤNG SỐ TIỀN THU ĐƯỢC TỪ ĐỢT CHÀO BÁN</w:t>
      </w:r>
    </w:p>
    <w:p w14:paraId="1E1F500F" w14:textId="77777777" w:rsidR="00735065" w:rsidRPr="00391E7E" w:rsidRDefault="00735065" w:rsidP="00223E18">
      <w:pPr>
        <w:widowControl w:val="0"/>
        <w:numPr>
          <w:ilvl w:val="0"/>
          <w:numId w:val="8"/>
        </w:numPr>
        <w:tabs>
          <w:tab w:val="left" w:pos="360"/>
        </w:tabs>
        <w:suppressAutoHyphens/>
        <w:snapToGrid w:val="0"/>
        <w:spacing w:before="120" w:after="120" w:line="264" w:lineRule="auto"/>
        <w:jc w:val="both"/>
        <w:rPr>
          <w:b/>
          <w:bCs/>
          <w:sz w:val="28"/>
          <w:szCs w:val="28"/>
        </w:rPr>
      </w:pPr>
      <w:r w:rsidRPr="00391E7E">
        <w:rPr>
          <w:b/>
          <w:bCs/>
          <w:sz w:val="28"/>
          <w:szCs w:val="28"/>
        </w:rPr>
        <w:t>Mục</w:t>
      </w:r>
      <w:r w:rsidRPr="00391E7E">
        <w:rPr>
          <w:b/>
          <w:bCs/>
          <w:sz w:val="28"/>
          <w:szCs w:val="28"/>
          <w:lang w:val="vi-VN"/>
        </w:rPr>
        <w:t xml:space="preserve"> đích chào bán: </w:t>
      </w:r>
    </w:p>
    <w:p w14:paraId="324F0B8B" w14:textId="77777777" w:rsidR="00735065" w:rsidRPr="00391E7E" w:rsidRDefault="00735065" w:rsidP="00223E18">
      <w:pPr>
        <w:spacing w:before="120" w:after="120" w:line="264" w:lineRule="auto"/>
        <w:ind w:firstLine="714"/>
        <w:jc w:val="both"/>
        <w:rPr>
          <w:b/>
          <w:bCs/>
          <w:sz w:val="28"/>
          <w:szCs w:val="28"/>
        </w:rPr>
      </w:pPr>
      <w:r w:rsidRPr="00391E7E">
        <w:rPr>
          <w:sz w:val="28"/>
          <w:szCs w:val="28"/>
          <w:lang w:val="pt-BR"/>
        </w:rPr>
        <w:t>Huy</w:t>
      </w:r>
      <w:r w:rsidRPr="00391E7E">
        <w:rPr>
          <w:sz w:val="28"/>
          <w:szCs w:val="28"/>
          <w:lang w:val="vi-VN"/>
        </w:rPr>
        <w:t xml:space="preserve"> động thêm vốn  để tiếp tục đầu tư, góp vốn vào các công ty con trong hệ sinh thái của Công ty nhằm đảm bảo duy trì tỷ lệ sở hữu, bổ sung vốn cho các công ty  thực hiện các dự án về năng lượng do các công ty con là chủ đầu tư. </w:t>
      </w:r>
    </w:p>
    <w:p w14:paraId="1D7AA0E6" w14:textId="77777777" w:rsidR="00735065" w:rsidRPr="00391E7E" w:rsidRDefault="00735065" w:rsidP="00223E18">
      <w:pPr>
        <w:widowControl w:val="0"/>
        <w:numPr>
          <w:ilvl w:val="0"/>
          <w:numId w:val="8"/>
        </w:numPr>
        <w:tabs>
          <w:tab w:val="left" w:pos="360"/>
        </w:tabs>
        <w:suppressAutoHyphens/>
        <w:snapToGrid w:val="0"/>
        <w:spacing w:before="120" w:after="120" w:line="264" w:lineRule="auto"/>
        <w:jc w:val="both"/>
        <w:rPr>
          <w:b/>
          <w:bCs/>
          <w:iCs/>
          <w:spacing w:val="-4"/>
          <w:sz w:val="28"/>
          <w:szCs w:val="28"/>
          <w:lang w:val="vi-VN"/>
        </w:rPr>
      </w:pPr>
      <w:r w:rsidRPr="00391E7E">
        <w:rPr>
          <w:b/>
          <w:sz w:val="28"/>
          <w:szCs w:val="28"/>
          <w:lang w:val="pt-BR"/>
        </w:rPr>
        <w:t>Phương án sử dụng số</w:t>
      </w:r>
      <w:r w:rsidRPr="00391E7E">
        <w:rPr>
          <w:b/>
          <w:sz w:val="28"/>
          <w:szCs w:val="28"/>
          <w:lang w:val="vi-VN"/>
        </w:rPr>
        <w:t xml:space="preserve"> tiền thu được từ đợt chào bán</w:t>
      </w:r>
    </w:p>
    <w:p w14:paraId="047B6363" w14:textId="77777777" w:rsidR="00735065" w:rsidRPr="00391E7E" w:rsidRDefault="00735065" w:rsidP="00223E18">
      <w:pPr>
        <w:spacing w:before="120" w:after="120" w:line="264" w:lineRule="auto"/>
        <w:ind w:firstLine="714"/>
        <w:jc w:val="both"/>
        <w:rPr>
          <w:bCs/>
          <w:iCs/>
          <w:sz w:val="28"/>
          <w:szCs w:val="28"/>
          <w:lang w:val="vi-VN"/>
        </w:rPr>
      </w:pPr>
      <w:r w:rsidRPr="00391E7E">
        <w:rPr>
          <w:sz w:val="28"/>
          <w:szCs w:val="28"/>
          <w:lang w:val="pt-BR"/>
        </w:rPr>
        <w:t>Toàn</w:t>
      </w:r>
      <w:r w:rsidRPr="00391E7E">
        <w:rPr>
          <w:sz w:val="28"/>
          <w:szCs w:val="28"/>
          <w:lang w:val="vi-VN"/>
        </w:rPr>
        <w:t xml:space="preserve"> bộ số tiền dự kiến thu được từ đợt chào bán riêng lẻ là </w:t>
      </w:r>
      <w:r w:rsidRPr="00391E7E">
        <w:rPr>
          <w:bCs/>
          <w:iCs/>
          <w:sz w:val="28"/>
          <w:szCs w:val="28"/>
          <w:lang w:val="vi-VN"/>
        </w:rPr>
        <w:t>25</w:t>
      </w:r>
      <w:r w:rsidRPr="00391E7E">
        <w:rPr>
          <w:bCs/>
          <w:iCs/>
          <w:sz w:val="28"/>
          <w:szCs w:val="28"/>
          <w:lang w:val="pt-BR"/>
        </w:rPr>
        <w:t>7.000.000.000 đồng</w:t>
      </w:r>
      <w:r w:rsidRPr="00391E7E">
        <w:rPr>
          <w:bCs/>
          <w:iCs/>
          <w:sz w:val="28"/>
          <w:szCs w:val="28"/>
          <w:lang w:val="vi-VN"/>
        </w:rPr>
        <w:t xml:space="preserve"> sẽ được Công ty sử dụng để góp vốn vào các công ty</w:t>
      </w:r>
      <w:r w:rsidRPr="00391E7E">
        <w:rPr>
          <w:bCs/>
          <w:iCs/>
          <w:sz w:val="28"/>
          <w:szCs w:val="28"/>
        </w:rPr>
        <w:t>, nhằm</w:t>
      </w:r>
      <w:r w:rsidRPr="00391E7E">
        <w:rPr>
          <w:bCs/>
          <w:iCs/>
          <w:sz w:val="28"/>
          <w:szCs w:val="28"/>
          <w:lang w:val="vi-VN"/>
        </w:rPr>
        <w:t xml:space="preserve"> duy trì tỷ lệ sở hữu, bổ sung vốn góp còn thiếu để  triển khai các dự án theo tiến độ , chi tiết như sau:</w:t>
      </w:r>
    </w:p>
    <w:p w14:paraId="0CA0798D" w14:textId="77777777" w:rsidR="00735065" w:rsidRPr="00391E7E" w:rsidRDefault="00735065" w:rsidP="00735065">
      <w:pPr>
        <w:widowControl w:val="0"/>
        <w:tabs>
          <w:tab w:val="left" w:pos="360"/>
        </w:tabs>
        <w:suppressAutoHyphens/>
        <w:snapToGrid w:val="0"/>
        <w:spacing w:before="120" w:after="120" w:line="312" w:lineRule="auto"/>
        <w:jc w:val="right"/>
        <w:rPr>
          <w:bCs/>
          <w:i/>
          <w:iCs/>
          <w:sz w:val="28"/>
          <w:szCs w:val="28"/>
          <w:lang w:val="pt-BR"/>
        </w:rPr>
      </w:pPr>
      <w:r w:rsidRPr="00391E7E">
        <w:rPr>
          <w:bCs/>
          <w:i/>
          <w:iCs/>
          <w:sz w:val="28"/>
          <w:szCs w:val="28"/>
          <w:lang w:val="pt-BR"/>
        </w:rPr>
        <w:t>Đơn vị: Tỷ đồng</w:t>
      </w:r>
    </w:p>
    <w:tbl>
      <w:tblPr>
        <w:tblW w:w="1019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11"/>
        <w:gridCol w:w="913"/>
        <w:gridCol w:w="1217"/>
        <w:gridCol w:w="1051"/>
        <w:gridCol w:w="1574"/>
        <w:gridCol w:w="1420"/>
        <w:gridCol w:w="1704"/>
      </w:tblGrid>
      <w:tr w:rsidR="00735065" w:rsidRPr="00391E7E" w14:paraId="270E59E5" w14:textId="77777777" w:rsidTr="00E70F7A">
        <w:trPr>
          <w:trHeight w:val="1904"/>
        </w:trPr>
        <w:tc>
          <w:tcPr>
            <w:tcW w:w="2311" w:type="dxa"/>
            <w:shd w:val="clear" w:color="auto" w:fill="auto"/>
            <w:vAlign w:val="center"/>
            <w:hideMark/>
          </w:tcPr>
          <w:p w14:paraId="0363CCA0" w14:textId="77777777" w:rsidR="00735065" w:rsidRPr="00E70F7A" w:rsidRDefault="00735065" w:rsidP="00FE603E">
            <w:pPr>
              <w:spacing w:after="120" w:line="312" w:lineRule="auto"/>
              <w:jc w:val="center"/>
              <w:rPr>
                <w:b/>
                <w:bCs/>
                <w:color w:val="000000"/>
                <w:sz w:val="26"/>
                <w:szCs w:val="26"/>
                <w:lang w:val="vi-VN"/>
              </w:rPr>
            </w:pPr>
            <w:r w:rsidRPr="00E70F7A">
              <w:rPr>
                <w:b/>
                <w:bCs/>
                <w:iCs/>
                <w:color w:val="000000"/>
                <w:sz w:val="26"/>
                <w:szCs w:val="26"/>
              </w:rPr>
              <w:t>Danh mục sử dụng vốn</w:t>
            </w:r>
          </w:p>
        </w:tc>
        <w:tc>
          <w:tcPr>
            <w:tcW w:w="913" w:type="dxa"/>
            <w:shd w:val="clear" w:color="auto" w:fill="auto"/>
            <w:vAlign w:val="center"/>
            <w:hideMark/>
          </w:tcPr>
          <w:p w14:paraId="26ADC4A8" w14:textId="77777777" w:rsidR="00735065" w:rsidRPr="00E70F7A" w:rsidRDefault="00735065" w:rsidP="00223E18">
            <w:pPr>
              <w:jc w:val="center"/>
              <w:rPr>
                <w:b/>
                <w:bCs/>
                <w:color w:val="000000"/>
                <w:sz w:val="26"/>
                <w:szCs w:val="26"/>
              </w:rPr>
            </w:pPr>
            <w:r w:rsidRPr="00E70F7A">
              <w:rPr>
                <w:b/>
                <w:bCs/>
                <w:iCs/>
                <w:color w:val="000000"/>
                <w:sz w:val="26"/>
                <w:szCs w:val="26"/>
              </w:rPr>
              <w:t>Vốn điều lệ</w:t>
            </w:r>
            <w:r w:rsidR="00391E7E" w:rsidRPr="00E70F7A">
              <w:rPr>
                <w:b/>
                <w:bCs/>
                <w:iCs/>
                <w:color w:val="000000"/>
                <w:sz w:val="26"/>
                <w:szCs w:val="26"/>
              </w:rPr>
              <w:t xml:space="preserve"> </w:t>
            </w:r>
          </w:p>
        </w:tc>
        <w:tc>
          <w:tcPr>
            <w:tcW w:w="1217" w:type="dxa"/>
            <w:shd w:val="clear" w:color="auto" w:fill="auto"/>
            <w:vAlign w:val="center"/>
            <w:hideMark/>
          </w:tcPr>
          <w:p w14:paraId="735E3326" w14:textId="77777777" w:rsidR="00735065" w:rsidRPr="00E70F7A" w:rsidRDefault="00735065" w:rsidP="00223E18">
            <w:pPr>
              <w:jc w:val="center"/>
              <w:rPr>
                <w:b/>
                <w:bCs/>
                <w:color w:val="000000"/>
                <w:sz w:val="26"/>
                <w:szCs w:val="26"/>
              </w:rPr>
            </w:pPr>
            <w:r w:rsidRPr="00E70F7A">
              <w:rPr>
                <w:b/>
                <w:bCs/>
                <w:iCs/>
                <w:color w:val="000000"/>
                <w:sz w:val="26"/>
                <w:szCs w:val="26"/>
                <w:lang w:val="vi-VN"/>
              </w:rPr>
              <w:t>Tổng số vốn LIG theo điều lệ</w:t>
            </w:r>
          </w:p>
        </w:tc>
        <w:tc>
          <w:tcPr>
            <w:tcW w:w="1051" w:type="dxa"/>
            <w:shd w:val="clear" w:color="auto" w:fill="auto"/>
            <w:vAlign w:val="center"/>
            <w:hideMark/>
          </w:tcPr>
          <w:p w14:paraId="7FDD3C00" w14:textId="77777777" w:rsidR="00735065" w:rsidRPr="00E70F7A" w:rsidRDefault="00735065" w:rsidP="00223E18">
            <w:pPr>
              <w:jc w:val="center"/>
              <w:rPr>
                <w:b/>
                <w:bCs/>
                <w:color w:val="000000"/>
                <w:sz w:val="26"/>
                <w:szCs w:val="26"/>
              </w:rPr>
            </w:pPr>
            <w:r w:rsidRPr="00E70F7A">
              <w:rPr>
                <w:b/>
                <w:bCs/>
                <w:iCs/>
                <w:color w:val="000000"/>
                <w:sz w:val="26"/>
                <w:szCs w:val="26"/>
                <w:lang w:val="vi-VN"/>
              </w:rPr>
              <w:t>Tỷ lệ góp vốn (%)</w:t>
            </w:r>
          </w:p>
        </w:tc>
        <w:tc>
          <w:tcPr>
            <w:tcW w:w="1574" w:type="dxa"/>
            <w:shd w:val="clear" w:color="auto" w:fill="auto"/>
            <w:vAlign w:val="center"/>
            <w:hideMark/>
          </w:tcPr>
          <w:p w14:paraId="6553CE4C" w14:textId="77777777" w:rsidR="00735065" w:rsidRPr="00E70F7A" w:rsidRDefault="00735065" w:rsidP="00223E18">
            <w:pPr>
              <w:jc w:val="center"/>
              <w:rPr>
                <w:b/>
                <w:bCs/>
                <w:iCs/>
                <w:color w:val="000000"/>
                <w:sz w:val="26"/>
                <w:szCs w:val="26"/>
              </w:rPr>
            </w:pPr>
            <w:r w:rsidRPr="00E70F7A">
              <w:rPr>
                <w:b/>
                <w:bCs/>
                <w:iCs/>
                <w:color w:val="000000"/>
                <w:sz w:val="26"/>
                <w:szCs w:val="26"/>
              </w:rPr>
              <w:t xml:space="preserve">Số vốn đã góp </w:t>
            </w:r>
          </w:p>
          <w:p w14:paraId="5B1E3504" w14:textId="77777777" w:rsidR="00735065" w:rsidRPr="00E70F7A" w:rsidRDefault="00735065" w:rsidP="00223E18">
            <w:pPr>
              <w:jc w:val="center"/>
              <w:rPr>
                <w:b/>
                <w:bCs/>
                <w:color w:val="000000"/>
                <w:sz w:val="26"/>
                <w:szCs w:val="26"/>
                <w:lang w:val="vi-VN"/>
              </w:rPr>
            </w:pPr>
            <w:r w:rsidRPr="00E70F7A">
              <w:rPr>
                <w:b/>
                <w:bCs/>
                <w:color w:val="000000"/>
                <w:sz w:val="26"/>
                <w:szCs w:val="26"/>
                <w:lang w:val="vi-VN"/>
              </w:rPr>
              <w:t>(</w:t>
            </w:r>
            <w:r w:rsidRPr="00E70F7A">
              <w:rPr>
                <w:b/>
                <w:bCs/>
                <w:color w:val="000000"/>
                <w:sz w:val="26"/>
                <w:szCs w:val="26"/>
              </w:rPr>
              <w:t>31/12</w:t>
            </w:r>
            <w:r w:rsidRPr="00E70F7A">
              <w:rPr>
                <w:b/>
                <w:bCs/>
                <w:color w:val="000000"/>
                <w:sz w:val="26"/>
                <w:szCs w:val="26"/>
                <w:lang w:val="vi-VN"/>
              </w:rPr>
              <w:t>/2020)</w:t>
            </w:r>
          </w:p>
        </w:tc>
        <w:tc>
          <w:tcPr>
            <w:tcW w:w="1420" w:type="dxa"/>
            <w:shd w:val="clear" w:color="auto" w:fill="auto"/>
            <w:vAlign w:val="center"/>
            <w:hideMark/>
          </w:tcPr>
          <w:p w14:paraId="51D4082F" w14:textId="17DA1174" w:rsidR="00735065" w:rsidRPr="00E70F7A" w:rsidRDefault="00735065" w:rsidP="00223E18">
            <w:pPr>
              <w:jc w:val="center"/>
              <w:rPr>
                <w:b/>
                <w:bCs/>
                <w:color w:val="000000"/>
                <w:sz w:val="26"/>
                <w:szCs w:val="26"/>
              </w:rPr>
            </w:pPr>
            <w:r w:rsidRPr="00E70F7A">
              <w:rPr>
                <w:b/>
                <w:bCs/>
                <w:iCs/>
                <w:color w:val="000000"/>
                <w:sz w:val="26"/>
                <w:szCs w:val="26"/>
                <w:lang w:val="vi-VN"/>
              </w:rPr>
              <w:t>Số tiền góp thêm sử dụng từ đợt chào bán</w:t>
            </w:r>
          </w:p>
        </w:tc>
        <w:tc>
          <w:tcPr>
            <w:tcW w:w="1704" w:type="dxa"/>
            <w:shd w:val="clear" w:color="auto" w:fill="auto"/>
            <w:vAlign w:val="center"/>
            <w:hideMark/>
          </w:tcPr>
          <w:p w14:paraId="4E4ACFAF" w14:textId="77777777" w:rsidR="00735065" w:rsidRPr="00E70F7A" w:rsidRDefault="00735065" w:rsidP="00FE603E">
            <w:pPr>
              <w:spacing w:after="120" w:line="312" w:lineRule="auto"/>
              <w:jc w:val="center"/>
              <w:rPr>
                <w:b/>
                <w:bCs/>
                <w:color w:val="000000"/>
                <w:sz w:val="26"/>
                <w:szCs w:val="26"/>
              </w:rPr>
            </w:pPr>
            <w:r w:rsidRPr="00E70F7A">
              <w:rPr>
                <w:b/>
                <w:bCs/>
                <w:iCs/>
                <w:color w:val="000000"/>
                <w:sz w:val="26"/>
                <w:szCs w:val="26"/>
                <w:lang w:val="vi-VN"/>
              </w:rPr>
              <w:t>Tiến độ giải ngân dự kiến</w:t>
            </w:r>
          </w:p>
        </w:tc>
      </w:tr>
      <w:tr w:rsidR="00735065" w:rsidRPr="00391E7E" w14:paraId="4F4E8D52" w14:textId="77777777" w:rsidTr="00E70F7A">
        <w:trPr>
          <w:trHeight w:val="539"/>
        </w:trPr>
        <w:tc>
          <w:tcPr>
            <w:tcW w:w="2311" w:type="dxa"/>
            <w:vMerge w:val="restart"/>
            <w:shd w:val="clear" w:color="auto" w:fill="auto"/>
            <w:vAlign w:val="center"/>
            <w:hideMark/>
          </w:tcPr>
          <w:p w14:paraId="6C9B808D" w14:textId="666FF447" w:rsidR="00735065" w:rsidRPr="00E70F7A" w:rsidRDefault="00735065" w:rsidP="00223E18">
            <w:pPr>
              <w:rPr>
                <w:color w:val="000000"/>
                <w:sz w:val="26"/>
                <w:szCs w:val="26"/>
              </w:rPr>
            </w:pPr>
            <w:r w:rsidRPr="00E70F7A">
              <w:rPr>
                <w:bCs/>
                <w:iCs/>
                <w:color w:val="000000"/>
                <w:sz w:val="26"/>
                <w:szCs w:val="26"/>
              </w:rPr>
              <w:t xml:space="preserve">Công ty cổ phần LICOGI 13 </w:t>
            </w:r>
            <w:r w:rsidR="00391E7E" w:rsidRPr="00E70F7A">
              <w:rPr>
                <w:bCs/>
                <w:iCs/>
                <w:color w:val="000000"/>
                <w:sz w:val="26"/>
                <w:szCs w:val="26"/>
              </w:rPr>
              <w:t xml:space="preserve">– Nền móng xây dựng </w:t>
            </w:r>
            <w:r w:rsidR="00E70F7A">
              <w:rPr>
                <w:bCs/>
                <w:iCs/>
                <w:color w:val="000000"/>
                <w:sz w:val="26"/>
                <w:szCs w:val="26"/>
              </w:rPr>
              <w:t>(LICOGI13-FC)</w:t>
            </w:r>
          </w:p>
        </w:tc>
        <w:tc>
          <w:tcPr>
            <w:tcW w:w="913" w:type="dxa"/>
            <w:vMerge w:val="restart"/>
            <w:shd w:val="clear" w:color="auto" w:fill="auto"/>
            <w:vAlign w:val="center"/>
            <w:hideMark/>
          </w:tcPr>
          <w:p w14:paraId="249FA3AD" w14:textId="77777777" w:rsidR="00735065" w:rsidRPr="00E70F7A" w:rsidRDefault="00735065" w:rsidP="00FE603E">
            <w:pPr>
              <w:spacing w:after="120" w:line="312" w:lineRule="auto"/>
              <w:jc w:val="right"/>
              <w:rPr>
                <w:color w:val="000000"/>
                <w:sz w:val="26"/>
                <w:szCs w:val="26"/>
              </w:rPr>
            </w:pPr>
            <w:r w:rsidRPr="00E70F7A">
              <w:rPr>
                <w:bCs/>
                <w:iCs/>
                <w:color w:val="000000"/>
                <w:sz w:val="26"/>
                <w:szCs w:val="26"/>
              </w:rPr>
              <w:t>160 </w:t>
            </w:r>
          </w:p>
        </w:tc>
        <w:tc>
          <w:tcPr>
            <w:tcW w:w="1217" w:type="dxa"/>
            <w:vMerge w:val="restart"/>
            <w:shd w:val="clear" w:color="auto" w:fill="auto"/>
            <w:vAlign w:val="center"/>
            <w:hideMark/>
          </w:tcPr>
          <w:p w14:paraId="1B56E078" w14:textId="77777777" w:rsidR="00735065" w:rsidRPr="00E70F7A" w:rsidRDefault="00735065" w:rsidP="00FE603E">
            <w:pPr>
              <w:spacing w:after="120" w:line="312" w:lineRule="auto"/>
              <w:jc w:val="right"/>
              <w:rPr>
                <w:color w:val="000000"/>
                <w:sz w:val="26"/>
                <w:szCs w:val="26"/>
              </w:rPr>
            </w:pPr>
            <w:r w:rsidRPr="00E70F7A">
              <w:rPr>
                <w:color w:val="000000"/>
                <w:sz w:val="26"/>
                <w:szCs w:val="26"/>
              </w:rPr>
              <w:t>82</w:t>
            </w:r>
            <w:r w:rsidRPr="00E70F7A">
              <w:rPr>
                <w:color w:val="000000"/>
                <w:sz w:val="26"/>
                <w:szCs w:val="26"/>
                <w:lang w:val="vi-VN"/>
              </w:rPr>
              <w:t> </w:t>
            </w:r>
          </w:p>
        </w:tc>
        <w:tc>
          <w:tcPr>
            <w:tcW w:w="1051" w:type="dxa"/>
            <w:vMerge w:val="restart"/>
            <w:shd w:val="clear" w:color="auto" w:fill="auto"/>
            <w:vAlign w:val="center"/>
            <w:hideMark/>
          </w:tcPr>
          <w:p w14:paraId="6EEE0D0B" w14:textId="77777777" w:rsidR="00735065" w:rsidRPr="00E70F7A" w:rsidRDefault="00735065" w:rsidP="00FE603E">
            <w:pPr>
              <w:spacing w:after="120" w:line="312" w:lineRule="auto"/>
              <w:jc w:val="right"/>
              <w:rPr>
                <w:color w:val="000000"/>
                <w:sz w:val="26"/>
                <w:szCs w:val="26"/>
              </w:rPr>
            </w:pPr>
            <w:r w:rsidRPr="00E70F7A">
              <w:rPr>
                <w:color w:val="000000"/>
                <w:sz w:val="26"/>
                <w:szCs w:val="26"/>
              </w:rPr>
              <w:t>51</w:t>
            </w:r>
          </w:p>
        </w:tc>
        <w:tc>
          <w:tcPr>
            <w:tcW w:w="1574" w:type="dxa"/>
            <w:vMerge w:val="restart"/>
            <w:shd w:val="clear" w:color="auto" w:fill="auto"/>
            <w:vAlign w:val="center"/>
            <w:hideMark/>
          </w:tcPr>
          <w:p w14:paraId="3D775AB4" w14:textId="77777777" w:rsidR="00735065" w:rsidRPr="00E70F7A" w:rsidRDefault="00735065" w:rsidP="00FE603E">
            <w:pPr>
              <w:spacing w:after="120" w:line="312" w:lineRule="auto"/>
              <w:jc w:val="right"/>
              <w:rPr>
                <w:color w:val="000000"/>
                <w:sz w:val="26"/>
                <w:szCs w:val="26"/>
              </w:rPr>
            </w:pPr>
            <w:r w:rsidRPr="00E70F7A">
              <w:rPr>
                <w:bCs/>
                <w:iCs/>
                <w:color w:val="000000"/>
                <w:sz w:val="26"/>
                <w:szCs w:val="26"/>
              </w:rPr>
              <w:t>82</w:t>
            </w:r>
          </w:p>
        </w:tc>
        <w:tc>
          <w:tcPr>
            <w:tcW w:w="1420" w:type="dxa"/>
            <w:vMerge w:val="restart"/>
            <w:shd w:val="clear" w:color="auto" w:fill="auto"/>
            <w:vAlign w:val="center"/>
            <w:hideMark/>
          </w:tcPr>
          <w:p w14:paraId="26DF8109" w14:textId="77777777" w:rsidR="00735065" w:rsidRPr="00E70F7A" w:rsidRDefault="00735065" w:rsidP="00FE603E">
            <w:pPr>
              <w:spacing w:after="120" w:line="312" w:lineRule="auto"/>
              <w:jc w:val="right"/>
              <w:rPr>
                <w:bCs/>
                <w:iCs/>
                <w:color w:val="000000"/>
                <w:sz w:val="26"/>
                <w:szCs w:val="26"/>
              </w:rPr>
            </w:pPr>
            <w:r w:rsidRPr="00E70F7A">
              <w:rPr>
                <w:bCs/>
                <w:iCs/>
                <w:color w:val="000000"/>
                <w:sz w:val="26"/>
                <w:szCs w:val="26"/>
              </w:rPr>
              <w:t>20</w:t>
            </w:r>
          </w:p>
        </w:tc>
        <w:tc>
          <w:tcPr>
            <w:tcW w:w="1704" w:type="dxa"/>
            <w:vMerge w:val="restart"/>
            <w:shd w:val="clear" w:color="auto" w:fill="auto"/>
            <w:vAlign w:val="center"/>
            <w:hideMark/>
          </w:tcPr>
          <w:p w14:paraId="67660158" w14:textId="77777777" w:rsidR="00735065" w:rsidRPr="00E70F7A" w:rsidRDefault="00735065" w:rsidP="00FE603E">
            <w:pPr>
              <w:spacing w:after="120" w:line="312" w:lineRule="auto"/>
              <w:jc w:val="center"/>
              <w:rPr>
                <w:color w:val="000000"/>
                <w:sz w:val="26"/>
                <w:szCs w:val="26"/>
              </w:rPr>
            </w:pPr>
            <w:r w:rsidRPr="00E70F7A">
              <w:rPr>
                <w:bCs/>
                <w:iCs/>
                <w:color w:val="000000"/>
                <w:sz w:val="26"/>
                <w:szCs w:val="26"/>
              </w:rPr>
              <w:t>Quý III</w:t>
            </w:r>
            <w:r w:rsidRPr="00E70F7A">
              <w:rPr>
                <w:bCs/>
                <w:iCs/>
                <w:color w:val="000000"/>
                <w:sz w:val="26"/>
                <w:szCs w:val="26"/>
                <w:lang w:val="vi-VN"/>
              </w:rPr>
              <w:t>-IV</w:t>
            </w:r>
            <w:r w:rsidRPr="00E70F7A">
              <w:rPr>
                <w:bCs/>
                <w:iCs/>
                <w:color w:val="000000"/>
                <w:sz w:val="26"/>
                <w:szCs w:val="26"/>
              </w:rPr>
              <w:t>/2021</w:t>
            </w:r>
          </w:p>
        </w:tc>
      </w:tr>
      <w:tr w:rsidR="00735065" w:rsidRPr="00391E7E" w14:paraId="2E9478B1" w14:textId="77777777" w:rsidTr="00E70F7A">
        <w:trPr>
          <w:trHeight w:val="539"/>
        </w:trPr>
        <w:tc>
          <w:tcPr>
            <w:tcW w:w="2311" w:type="dxa"/>
            <w:vMerge/>
            <w:vAlign w:val="center"/>
            <w:hideMark/>
          </w:tcPr>
          <w:p w14:paraId="13906267" w14:textId="77777777" w:rsidR="00735065" w:rsidRPr="00E70F7A" w:rsidRDefault="00735065" w:rsidP="00FE603E">
            <w:pPr>
              <w:spacing w:after="120" w:line="312" w:lineRule="auto"/>
              <w:rPr>
                <w:color w:val="000000"/>
                <w:sz w:val="26"/>
                <w:szCs w:val="26"/>
              </w:rPr>
            </w:pPr>
          </w:p>
        </w:tc>
        <w:tc>
          <w:tcPr>
            <w:tcW w:w="913" w:type="dxa"/>
            <w:vMerge/>
            <w:vAlign w:val="center"/>
            <w:hideMark/>
          </w:tcPr>
          <w:p w14:paraId="251BB434" w14:textId="77777777" w:rsidR="00735065" w:rsidRPr="00E70F7A" w:rsidRDefault="00735065" w:rsidP="00FE603E">
            <w:pPr>
              <w:spacing w:after="120" w:line="312" w:lineRule="auto"/>
              <w:rPr>
                <w:color w:val="000000"/>
                <w:sz w:val="26"/>
                <w:szCs w:val="26"/>
              </w:rPr>
            </w:pPr>
          </w:p>
        </w:tc>
        <w:tc>
          <w:tcPr>
            <w:tcW w:w="1217" w:type="dxa"/>
            <w:vMerge/>
            <w:vAlign w:val="center"/>
            <w:hideMark/>
          </w:tcPr>
          <w:p w14:paraId="32DCFDDE" w14:textId="77777777" w:rsidR="00735065" w:rsidRPr="00E70F7A" w:rsidRDefault="00735065" w:rsidP="00FE603E">
            <w:pPr>
              <w:spacing w:after="120" w:line="312" w:lineRule="auto"/>
              <w:rPr>
                <w:color w:val="000000"/>
                <w:sz w:val="26"/>
                <w:szCs w:val="26"/>
              </w:rPr>
            </w:pPr>
          </w:p>
        </w:tc>
        <w:tc>
          <w:tcPr>
            <w:tcW w:w="1051" w:type="dxa"/>
            <w:vMerge/>
            <w:vAlign w:val="center"/>
            <w:hideMark/>
          </w:tcPr>
          <w:p w14:paraId="6303F25B" w14:textId="77777777" w:rsidR="00735065" w:rsidRPr="00E70F7A" w:rsidRDefault="00735065" w:rsidP="00FE603E">
            <w:pPr>
              <w:spacing w:after="120" w:line="312" w:lineRule="auto"/>
              <w:rPr>
                <w:color w:val="000000"/>
                <w:sz w:val="26"/>
                <w:szCs w:val="26"/>
              </w:rPr>
            </w:pPr>
          </w:p>
        </w:tc>
        <w:tc>
          <w:tcPr>
            <w:tcW w:w="1574" w:type="dxa"/>
            <w:vMerge/>
            <w:vAlign w:val="center"/>
            <w:hideMark/>
          </w:tcPr>
          <w:p w14:paraId="29757C8E" w14:textId="77777777" w:rsidR="00735065" w:rsidRPr="00E70F7A" w:rsidRDefault="00735065" w:rsidP="00FE603E">
            <w:pPr>
              <w:spacing w:after="120" w:line="312" w:lineRule="auto"/>
              <w:rPr>
                <w:color w:val="000000"/>
                <w:sz w:val="26"/>
                <w:szCs w:val="26"/>
              </w:rPr>
            </w:pPr>
          </w:p>
        </w:tc>
        <w:tc>
          <w:tcPr>
            <w:tcW w:w="1420" w:type="dxa"/>
            <w:vMerge/>
            <w:vAlign w:val="center"/>
            <w:hideMark/>
          </w:tcPr>
          <w:p w14:paraId="1B3811DB" w14:textId="77777777" w:rsidR="00735065" w:rsidRPr="00E70F7A" w:rsidRDefault="00735065" w:rsidP="00FE603E">
            <w:pPr>
              <w:spacing w:after="120" w:line="312" w:lineRule="auto"/>
              <w:rPr>
                <w:color w:val="000000"/>
                <w:sz w:val="26"/>
                <w:szCs w:val="26"/>
              </w:rPr>
            </w:pPr>
          </w:p>
        </w:tc>
        <w:tc>
          <w:tcPr>
            <w:tcW w:w="1704" w:type="dxa"/>
            <w:vMerge/>
            <w:vAlign w:val="center"/>
            <w:hideMark/>
          </w:tcPr>
          <w:p w14:paraId="5111AFDC" w14:textId="77777777" w:rsidR="00735065" w:rsidRPr="00E70F7A" w:rsidRDefault="00735065" w:rsidP="00FE603E">
            <w:pPr>
              <w:spacing w:after="120" w:line="312" w:lineRule="auto"/>
              <w:jc w:val="center"/>
              <w:rPr>
                <w:color w:val="000000"/>
                <w:sz w:val="26"/>
                <w:szCs w:val="26"/>
              </w:rPr>
            </w:pPr>
          </w:p>
        </w:tc>
      </w:tr>
      <w:tr w:rsidR="00735065" w:rsidRPr="00391E7E" w14:paraId="656DAD78" w14:textId="77777777" w:rsidTr="00E70F7A">
        <w:trPr>
          <w:trHeight w:val="509"/>
        </w:trPr>
        <w:tc>
          <w:tcPr>
            <w:tcW w:w="2311" w:type="dxa"/>
            <w:vMerge/>
            <w:vAlign w:val="center"/>
            <w:hideMark/>
          </w:tcPr>
          <w:p w14:paraId="10E6FC1D" w14:textId="77777777" w:rsidR="00735065" w:rsidRPr="00E70F7A" w:rsidRDefault="00735065" w:rsidP="00FE603E">
            <w:pPr>
              <w:spacing w:after="120" w:line="312" w:lineRule="auto"/>
              <w:rPr>
                <w:color w:val="000000"/>
                <w:sz w:val="26"/>
                <w:szCs w:val="26"/>
              </w:rPr>
            </w:pPr>
          </w:p>
        </w:tc>
        <w:tc>
          <w:tcPr>
            <w:tcW w:w="913" w:type="dxa"/>
            <w:vMerge/>
            <w:vAlign w:val="center"/>
            <w:hideMark/>
          </w:tcPr>
          <w:p w14:paraId="0862A7E6" w14:textId="77777777" w:rsidR="00735065" w:rsidRPr="00E70F7A" w:rsidRDefault="00735065" w:rsidP="00FE603E">
            <w:pPr>
              <w:spacing w:after="120" w:line="312" w:lineRule="auto"/>
              <w:rPr>
                <w:color w:val="000000"/>
                <w:sz w:val="26"/>
                <w:szCs w:val="26"/>
              </w:rPr>
            </w:pPr>
          </w:p>
        </w:tc>
        <w:tc>
          <w:tcPr>
            <w:tcW w:w="1217" w:type="dxa"/>
            <w:vMerge/>
            <w:vAlign w:val="center"/>
            <w:hideMark/>
          </w:tcPr>
          <w:p w14:paraId="4BCFE158" w14:textId="77777777" w:rsidR="00735065" w:rsidRPr="00E70F7A" w:rsidRDefault="00735065" w:rsidP="00FE603E">
            <w:pPr>
              <w:spacing w:after="120" w:line="312" w:lineRule="auto"/>
              <w:rPr>
                <w:color w:val="000000"/>
                <w:sz w:val="26"/>
                <w:szCs w:val="26"/>
              </w:rPr>
            </w:pPr>
          </w:p>
        </w:tc>
        <w:tc>
          <w:tcPr>
            <w:tcW w:w="1051" w:type="dxa"/>
            <w:vMerge/>
            <w:vAlign w:val="center"/>
            <w:hideMark/>
          </w:tcPr>
          <w:p w14:paraId="0104CF0E" w14:textId="77777777" w:rsidR="00735065" w:rsidRPr="00E70F7A" w:rsidRDefault="00735065" w:rsidP="00FE603E">
            <w:pPr>
              <w:spacing w:after="120" w:line="312" w:lineRule="auto"/>
              <w:rPr>
                <w:color w:val="000000"/>
                <w:sz w:val="26"/>
                <w:szCs w:val="26"/>
              </w:rPr>
            </w:pPr>
          </w:p>
        </w:tc>
        <w:tc>
          <w:tcPr>
            <w:tcW w:w="1574" w:type="dxa"/>
            <w:vMerge/>
            <w:vAlign w:val="center"/>
            <w:hideMark/>
          </w:tcPr>
          <w:p w14:paraId="3087F6A5" w14:textId="77777777" w:rsidR="00735065" w:rsidRPr="00E70F7A" w:rsidRDefault="00735065" w:rsidP="00FE603E">
            <w:pPr>
              <w:spacing w:after="120" w:line="312" w:lineRule="auto"/>
              <w:rPr>
                <w:color w:val="000000"/>
                <w:sz w:val="26"/>
                <w:szCs w:val="26"/>
              </w:rPr>
            </w:pPr>
          </w:p>
        </w:tc>
        <w:tc>
          <w:tcPr>
            <w:tcW w:w="1420" w:type="dxa"/>
            <w:vMerge/>
            <w:vAlign w:val="center"/>
            <w:hideMark/>
          </w:tcPr>
          <w:p w14:paraId="6B0DF85F" w14:textId="77777777" w:rsidR="00735065" w:rsidRPr="00E70F7A" w:rsidRDefault="00735065" w:rsidP="00FE603E">
            <w:pPr>
              <w:spacing w:after="120" w:line="312" w:lineRule="auto"/>
              <w:rPr>
                <w:color w:val="000000"/>
                <w:sz w:val="26"/>
                <w:szCs w:val="26"/>
              </w:rPr>
            </w:pPr>
          </w:p>
        </w:tc>
        <w:tc>
          <w:tcPr>
            <w:tcW w:w="1704" w:type="dxa"/>
            <w:vMerge/>
            <w:vAlign w:val="center"/>
            <w:hideMark/>
          </w:tcPr>
          <w:p w14:paraId="11FE5774" w14:textId="77777777" w:rsidR="00735065" w:rsidRPr="00E70F7A" w:rsidRDefault="00735065" w:rsidP="00FE603E">
            <w:pPr>
              <w:spacing w:after="120" w:line="312" w:lineRule="auto"/>
              <w:jc w:val="center"/>
              <w:rPr>
                <w:color w:val="000000"/>
                <w:sz w:val="26"/>
                <w:szCs w:val="26"/>
              </w:rPr>
            </w:pPr>
          </w:p>
        </w:tc>
      </w:tr>
      <w:tr w:rsidR="00735065" w:rsidRPr="00391E7E" w14:paraId="5208C47C" w14:textId="77777777" w:rsidTr="00E70F7A">
        <w:trPr>
          <w:trHeight w:val="948"/>
        </w:trPr>
        <w:tc>
          <w:tcPr>
            <w:tcW w:w="2311" w:type="dxa"/>
            <w:shd w:val="clear" w:color="auto" w:fill="auto"/>
            <w:vAlign w:val="center"/>
            <w:hideMark/>
          </w:tcPr>
          <w:p w14:paraId="3BA4B481" w14:textId="77777777" w:rsidR="00735065" w:rsidRPr="00E70F7A" w:rsidRDefault="00735065" w:rsidP="00223E18">
            <w:pPr>
              <w:rPr>
                <w:color w:val="000000"/>
                <w:sz w:val="26"/>
                <w:szCs w:val="26"/>
              </w:rPr>
            </w:pPr>
            <w:r w:rsidRPr="00E70F7A">
              <w:rPr>
                <w:color w:val="000000"/>
                <w:sz w:val="26"/>
                <w:szCs w:val="26"/>
              </w:rPr>
              <w:t>Công ty Cổ phần LIG - Hướng Hóa 1</w:t>
            </w:r>
          </w:p>
        </w:tc>
        <w:tc>
          <w:tcPr>
            <w:tcW w:w="913" w:type="dxa"/>
            <w:shd w:val="clear" w:color="auto" w:fill="auto"/>
            <w:vAlign w:val="bottom"/>
            <w:hideMark/>
          </w:tcPr>
          <w:p w14:paraId="38AD7F85" w14:textId="77777777" w:rsidR="00735065" w:rsidRPr="00E70F7A" w:rsidRDefault="00735065" w:rsidP="00223E18">
            <w:pPr>
              <w:jc w:val="right"/>
              <w:rPr>
                <w:color w:val="000000"/>
                <w:sz w:val="26"/>
                <w:szCs w:val="26"/>
              </w:rPr>
            </w:pPr>
            <w:r w:rsidRPr="00E70F7A">
              <w:rPr>
                <w:color w:val="000000"/>
                <w:sz w:val="26"/>
                <w:szCs w:val="26"/>
              </w:rPr>
              <w:t>360</w:t>
            </w:r>
          </w:p>
        </w:tc>
        <w:tc>
          <w:tcPr>
            <w:tcW w:w="1217" w:type="dxa"/>
            <w:shd w:val="clear" w:color="auto" w:fill="auto"/>
            <w:vAlign w:val="bottom"/>
            <w:hideMark/>
          </w:tcPr>
          <w:p w14:paraId="7301F62B" w14:textId="77777777" w:rsidR="00735065" w:rsidRPr="00E70F7A" w:rsidRDefault="00735065" w:rsidP="00FE603E">
            <w:pPr>
              <w:spacing w:after="120" w:line="312" w:lineRule="auto"/>
              <w:jc w:val="right"/>
              <w:rPr>
                <w:color w:val="000000"/>
                <w:sz w:val="26"/>
                <w:szCs w:val="26"/>
              </w:rPr>
            </w:pPr>
            <w:r w:rsidRPr="00E70F7A">
              <w:rPr>
                <w:color w:val="000000"/>
                <w:sz w:val="26"/>
                <w:szCs w:val="26"/>
              </w:rPr>
              <w:t>324</w:t>
            </w:r>
          </w:p>
        </w:tc>
        <w:tc>
          <w:tcPr>
            <w:tcW w:w="1051" w:type="dxa"/>
            <w:shd w:val="clear" w:color="auto" w:fill="auto"/>
            <w:vAlign w:val="bottom"/>
            <w:hideMark/>
          </w:tcPr>
          <w:p w14:paraId="2D4DBC32" w14:textId="77777777" w:rsidR="00735065" w:rsidRPr="00E70F7A" w:rsidRDefault="00735065" w:rsidP="00FE603E">
            <w:pPr>
              <w:spacing w:after="120" w:line="312" w:lineRule="auto"/>
              <w:jc w:val="right"/>
              <w:rPr>
                <w:color w:val="000000"/>
                <w:sz w:val="26"/>
                <w:szCs w:val="26"/>
              </w:rPr>
            </w:pPr>
            <w:r w:rsidRPr="00E70F7A">
              <w:rPr>
                <w:color w:val="000000"/>
                <w:sz w:val="26"/>
                <w:szCs w:val="26"/>
              </w:rPr>
              <w:t>90</w:t>
            </w:r>
          </w:p>
        </w:tc>
        <w:tc>
          <w:tcPr>
            <w:tcW w:w="1574" w:type="dxa"/>
            <w:shd w:val="clear" w:color="auto" w:fill="auto"/>
            <w:vAlign w:val="bottom"/>
            <w:hideMark/>
          </w:tcPr>
          <w:p w14:paraId="1A398549" w14:textId="77777777" w:rsidR="00735065" w:rsidRPr="00E70F7A" w:rsidRDefault="00735065" w:rsidP="00FE603E">
            <w:pPr>
              <w:spacing w:after="120" w:line="312" w:lineRule="auto"/>
              <w:jc w:val="right"/>
              <w:rPr>
                <w:color w:val="000000"/>
                <w:sz w:val="26"/>
                <w:szCs w:val="26"/>
                <w:lang w:val="vi-VN"/>
              </w:rPr>
            </w:pPr>
            <w:r w:rsidRPr="00E70F7A">
              <w:rPr>
                <w:color w:val="000000"/>
                <w:sz w:val="26"/>
                <w:szCs w:val="26"/>
                <w:lang w:val="vi-VN"/>
              </w:rPr>
              <w:t>73,562</w:t>
            </w:r>
          </w:p>
        </w:tc>
        <w:tc>
          <w:tcPr>
            <w:tcW w:w="1420" w:type="dxa"/>
            <w:shd w:val="clear" w:color="auto" w:fill="auto"/>
            <w:vAlign w:val="bottom"/>
            <w:hideMark/>
          </w:tcPr>
          <w:p w14:paraId="2BBB010F" w14:textId="77777777" w:rsidR="00735065" w:rsidRPr="00E70F7A" w:rsidRDefault="00735065" w:rsidP="00FE603E">
            <w:pPr>
              <w:spacing w:after="120" w:line="312" w:lineRule="auto"/>
              <w:jc w:val="right"/>
              <w:rPr>
                <w:color w:val="000000"/>
                <w:sz w:val="26"/>
                <w:szCs w:val="26"/>
              </w:rPr>
            </w:pPr>
            <w:r w:rsidRPr="00E70F7A">
              <w:rPr>
                <w:color w:val="000000"/>
                <w:sz w:val="26"/>
                <w:szCs w:val="26"/>
              </w:rPr>
              <w:t>60</w:t>
            </w:r>
          </w:p>
        </w:tc>
        <w:tc>
          <w:tcPr>
            <w:tcW w:w="1704" w:type="dxa"/>
            <w:shd w:val="clear" w:color="auto" w:fill="auto"/>
            <w:vAlign w:val="center"/>
            <w:hideMark/>
          </w:tcPr>
          <w:p w14:paraId="4024777D" w14:textId="77777777" w:rsidR="00735065" w:rsidRPr="00E70F7A" w:rsidRDefault="00735065" w:rsidP="00FE603E">
            <w:pPr>
              <w:spacing w:after="120" w:line="312" w:lineRule="auto"/>
              <w:jc w:val="center"/>
              <w:rPr>
                <w:color w:val="000000"/>
                <w:sz w:val="26"/>
                <w:szCs w:val="26"/>
                <w:lang w:val="vi-VN"/>
              </w:rPr>
            </w:pPr>
            <w:r w:rsidRPr="00E70F7A">
              <w:rPr>
                <w:color w:val="000000"/>
                <w:sz w:val="26"/>
                <w:szCs w:val="26"/>
              </w:rPr>
              <w:t>Quý</w:t>
            </w:r>
            <w:r w:rsidRPr="00E70F7A">
              <w:rPr>
                <w:color w:val="000000"/>
                <w:sz w:val="26"/>
                <w:szCs w:val="26"/>
                <w:lang w:val="vi-VN"/>
              </w:rPr>
              <w:t xml:space="preserve"> III-IV/2021</w:t>
            </w:r>
          </w:p>
        </w:tc>
      </w:tr>
      <w:tr w:rsidR="00735065" w:rsidRPr="00391E7E" w14:paraId="312B6ED2" w14:textId="77777777" w:rsidTr="00E70F7A">
        <w:trPr>
          <w:trHeight w:val="948"/>
        </w:trPr>
        <w:tc>
          <w:tcPr>
            <w:tcW w:w="2311" w:type="dxa"/>
            <w:shd w:val="clear" w:color="auto" w:fill="auto"/>
            <w:vAlign w:val="center"/>
            <w:hideMark/>
          </w:tcPr>
          <w:p w14:paraId="3566AD3A" w14:textId="77777777" w:rsidR="00735065" w:rsidRPr="00E70F7A" w:rsidRDefault="00735065" w:rsidP="00223E18">
            <w:pPr>
              <w:rPr>
                <w:color w:val="000000"/>
                <w:sz w:val="26"/>
                <w:szCs w:val="26"/>
              </w:rPr>
            </w:pPr>
            <w:r w:rsidRPr="00E70F7A">
              <w:rPr>
                <w:color w:val="000000"/>
                <w:sz w:val="26"/>
                <w:szCs w:val="26"/>
                <w:lang w:val="vi-VN"/>
              </w:rPr>
              <w:lastRenderedPageBreak/>
              <w:t>Công ty Cổ phần LIG - Hướng Hóa 2</w:t>
            </w:r>
          </w:p>
        </w:tc>
        <w:tc>
          <w:tcPr>
            <w:tcW w:w="913" w:type="dxa"/>
            <w:shd w:val="clear" w:color="auto" w:fill="auto"/>
            <w:vAlign w:val="bottom"/>
            <w:hideMark/>
          </w:tcPr>
          <w:p w14:paraId="3F105E4A" w14:textId="77777777" w:rsidR="00735065" w:rsidRPr="00E70F7A" w:rsidRDefault="00735065" w:rsidP="00223E18">
            <w:pPr>
              <w:jc w:val="right"/>
              <w:rPr>
                <w:color w:val="000000"/>
                <w:sz w:val="26"/>
                <w:szCs w:val="26"/>
              </w:rPr>
            </w:pPr>
            <w:r w:rsidRPr="00E70F7A">
              <w:rPr>
                <w:bCs/>
                <w:iCs/>
                <w:color w:val="000000"/>
                <w:sz w:val="26"/>
                <w:szCs w:val="26"/>
              </w:rPr>
              <w:t>360</w:t>
            </w:r>
          </w:p>
        </w:tc>
        <w:tc>
          <w:tcPr>
            <w:tcW w:w="1217" w:type="dxa"/>
            <w:shd w:val="clear" w:color="auto" w:fill="auto"/>
            <w:vAlign w:val="bottom"/>
            <w:hideMark/>
          </w:tcPr>
          <w:p w14:paraId="71FE1D03" w14:textId="77777777" w:rsidR="00735065" w:rsidRPr="00E70F7A" w:rsidRDefault="00735065" w:rsidP="00FE603E">
            <w:pPr>
              <w:spacing w:after="120" w:line="312" w:lineRule="auto"/>
              <w:jc w:val="right"/>
              <w:rPr>
                <w:color w:val="000000"/>
                <w:sz w:val="26"/>
                <w:szCs w:val="26"/>
              </w:rPr>
            </w:pPr>
            <w:r w:rsidRPr="00E70F7A">
              <w:rPr>
                <w:bCs/>
                <w:iCs/>
                <w:color w:val="000000"/>
                <w:sz w:val="26"/>
                <w:szCs w:val="26"/>
              </w:rPr>
              <w:t>324</w:t>
            </w:r>
          </w:p>
        </w:tc>
        <w:tc>
          <w:tcPr>
            <w:tcW w:w="1051" w:type="dxa"/>
            <w:shd w:val="clear" w:color="auto" w:fill="auto"/>
            <w:vAlign w:val="bottom"/>
            <w:hideMark/>
          </w:tcPr>
          <w:p w14:paraId="3CABFE04" w14:textId="77777777" w:rsidR="00735065" w:rsidRPr="00E70F7A" w:rsidRDefault="00735065" w:rsidP="00FE603E">
            <w:pPr>
              <w:spacing w:after="120" w:line="312" w:lineRule="auto"/>
              <w:jc w:val="right"/>
              <w:rPr>
                <w:color w:val="000000"/>
                <w:sz w:val="26"/>
                <w:szCs w:val="26"/>
              </w:rPr>
            </w:pPr>
            <w:r w:rsidRPr="00E70F7A">
              <w:rPr>
                <w:bCs/>
                <w:iCs/>
                <w:color w:val="000000"/>
                <w:sz w:val="26"/>
                <w:szCs w:val="26"/>
              </w:rPr>
              <w:t>90</w:t>
            </w:r>
          </w:p>
        </w:tc>
        <w:tc>
          <w:tcPr>
            <w:tcW w:w="1574" w:type="dxa"/>
            <w:shd w:val="clear" w:color="auto" w:fill="auto"/>
            <w:vAlign w:val="bottom"/>
            <w:hideMark/>
          </w:tcPr>
          <w:p w14:paraId="2D3CB818" w14:textId="77777777" w:rsidR="00735065" w:rsidRPr="00E70F7A" w:rsidRDefault="00735065" w:rsidP="00FE603E">
            <w:pPr>
              <w:spacing w:after="120" w:line="312" w:lineRule="auto"/>
              <w:jc w:val="right"/>
              <w:rPr>
                <w:color w:val="000000"/>
                <w:sz w:val="26"/>
                <w:szCs w:val="26"/>
                <w:lang w:val="vi-VN"/>
              </w:rPr>
            </w:pPr>
            <w:r w:rsidRPr="00E70F7A">
              <w:rPr>
                <w:color w:val="000000"/>
                <w:sz w:val="26"/>
                <w:szCs w:val="26"/>
                <w:lang w:val="vi-VN"/>
              </w:rPr>
              <w:t>73,044</w:t>
            </w:r>
          </w:p>
        </w:tc>
        <w:tc>
          <w:tcPr>
            <w:tcW w:w="1420" w:type="dxa"/>
            <w:shd w:val="clear" w:color="auto" w:fill="auto"/>
            <w:vAlign w:val="bottom"/>
            <w:hideMark/>
          </w:tcPr>
          <w:p w14:paraId="0D6F45FE" w14:textId="77777777" w:rsidR="00735065" w:rsidRPr="00E70F7A" w:rsidRDefault="00735065" w:rsidP="00FE603E">
            <w:pPr>
              <w:spacing w:after="120" w:line="312" w:lineRule="auto"/>
              <w:jc w:val="right"/>
              <w:rPr>
                <w:color w:val="000000"/>
                <w:sz w:val="26"/>
                <w:szCs w:val="26"/>
                <w:lang w:val="vi-VN"/>
              </w:rPr>
            </w:pPr>
            <w:r w:rsidRPr="00E70F7A">
              <w:rPr>
                <w:bCs/>
                <w:iCs/>
                <w:color w:val="000000"/>
                <w:sz w:val="26"/>
                <w:szCs w:val="26"/>
              </w:rPr>
              <w:t>1</w:t>
            </w:r>
            <w:r w:rsidRPr="00E70F7A">
              <w:rPr>
                <w:bCs/>
                <w:iCs/>
                <w:color w:val="000000"/>
                <w:sz w:val="26"/>
                <w:szCs w:val="26"/>
                <w:lang w:val="vi-VN"/>
              </w:rPr>
              <w:t>00</w:t>
            </w:r>
          </w:p>
        </w:tc>
        <w:tc>
          <w:tcPr>
            <w:tcW w:w="1704" w:type="dxa"/>
            <w:shd w:val="clear" w:color="auto" w:fill="auto"/>
            <w:vAlign w:val="center"/>
            <w:hideMark/>
          </w:tcPr>
          <w:p w14:paraId="00DCC984" w14:textId="77777777" w:rsidR="00735065" w:rsidRPr="00E70F7A" w:rsidRDefault="00735065" w:rsidP="00FE603E">
            <w:pPr>
              <w:spacing w:after="120" w:line="312" w:lineRule="auto"/>
              <w:jc w:val="center"/>
              <w:rPr>
                <w:color w:val="000000"/>
                <w:sz w:val="26"/>
                <w:szCs w:val="26"/>
              </w:rPr>
            </w:pPr>
            <w:r w:rsidRPr="00E70F7A">
              <w:rPr>
                <w:color w:val="000000"/>
                <w:sz w:val="26"/>
                <w:szCs w:val="26"/>
              </w:rPr>
              <w:t>Quý</w:t>
            </w:r>
            <w:r w:rsidRPr="00E70F7A">
              <w:rPr>
                <w:color w:val="000000"/>
                <w:sz w:val="26"/>
                <w:szCs w:val="26"/>
                <w:lang w:val="vi-VN"/>
              </w:rPr>
              <w:t xml:space="preserve"> III-IV/2021</w:t>
            </w:r>
          </w:p>
        </w:tc>
      </w:tr>
      <w:tr w:rsidR="00735065" w:rsidRPr="00391E7E" w14:paraId="52787D5F" w14:textId="77777777" w:rsidTr="00E70F7A">
        <w:trPr>
          <w:trHeight w:val="636"/>
        </w:trPr>
        <w:tc>
          <w:tcPr>
            <w:tcW w:w="2311" w:type="dxa"/>
            <w:shd w:val="clear" w:color="auto" w:fill="auto"/>
            <w:vAlign w:val="center"/>
            <w:hideMark/>
          </w:tcPr>
          <w:p w14:paraId="6A474C06" w14:textId="2C53CB9A" w:rsidR="00735065" w:rsidRPr="00E70F7A" w:rsidRDefault="00E70F7A" w:rsidP="00223E18">
            <w:pPr>
              <w:rPr>
                <w:color w:val="000000"/>
                <w:sz w:val="26"/>
                <w:szCs w:val="26"/>
                <w:lang w:val="vi-VN"/>
              </w:rPr>
            </w:pPr>
            <w:r>
              <w:rPr>
                <w:iCs/>
                <w:color w:val="000000"/>
                <w:sz w:val="26"/>
                <w:szCs w:val="26"/>
              </w:rPr>
              <w:t xml:space="preserve">Cty </w:t>
            </w:r>
            <w:r w:rsidR="00735065" w:rsidRPr="00E70F7A">
              <w:rPr>
                <w:iCs/>
                <w:color w:val="000000"/>
                <w:sz w:val="26"/>
                <w:szCs w:val="26"/>
              </w:rPr>
              <w:t>CP Năng</w:t>
            </w:r>
            <w:r>
              <w:rPr>
                <w:iCs/>
                <w:color w:val="000000"/>
                <w:sz w:val="26"/>
                <w:szCs w:val="26"/>
                <w:lang w:val="vi-VN"/>
              </w:rPr>
              <w:t xml:space="preserve"> lượng D</w:t>
            </w:r>
            <w:r w:rsidR="00735065" w:rsidRPr="00E70F7A">
              <w:rPr>
                <w:iCs/>
                <w:color w:val="000000"/>
                <w:sz w:val="26"/>
                <w:szCs w:val="26"/>
                <w:lang w:val="vi-VN"/>
              </w:rPr>
              <w:t xml:space="preserve">ầu khí </w:t>
            </w:r>
            <w:r>
              <w:rPr>
                <w:iCs/>
                <w:color w:val="000000"/>
                <w:sz w:val="26"/>
                <w:szCs w:val="26"/>
              </w:rPr>
              <w:t>T</w:t>
            </w:r>
            <w:r w:rsidR="00735065" w:rsidRPr="00E70F7A">
              <w:rPr>
                <w:iCs/>
                <w:color w:val="000000"/>
                <w:sz w:val="26"/>
                <w:szCs w:val="26"/>
                <w:lang w:val="vi-VN"/>
              </w:rPr>
              <w:t>oàn cầu</w:t>
            </w:r>
          </w:p>
        </w:tc>
        <w:tc>
          <w:tcPr>
            <w:tcW w:w="913" w:type="dxa"/>
            <w:shd w:val="clear" w:color="auto" w:fill="auto"/>
            <w:vAlign w:val="bottom"/>
            <w:hideMark/>
          </w:tcPr>
          <w:p w14:paraId="4C3C7070" w14:textId="77777777" w:rsidR="00735065" w:rsidRPr="00E70F7A" w:rsidRDefault="00735065" w:rsidP="00FE603E">
            <w:pPr>
              <w:spacing w:after="120" w:line="312" w:lineRule="auto"/>
              <w:jc w:val="right"/>
              <w:rPr>
                <w:color w:val="000000"/>
                <w:sz w:val="26"/>
                <w:szCs w:val="26"/>
              </w:rPr>
            </w:pPr>
            <w:r w:rsidRPr="00E70F7A">
              <w:rPr>
                <w:bCs/>
                <w:iCs/>
                <w:color w:val="000000"/>
                <w:sz w:val="26"/>
                <w:szCs w:val="26"/>
              </w:rPr>
              <w:t>300</w:t>
            </w:r>
          </w:p>
        </w:tc>
        <w:tc>
          <w:tcPr>
            <w:tcW w:w="1217" w:type="dxa"/>
            <w:shd w:val="clear" w:color="auto" w:fill="auto"/>
            <w:vAlign w:val="bottom"/>
            <w:hideMark/>
          </w:tcPr>
          <w:p w14:paraId="45B24A36" w14:textId="77777777" w:rsidR="00735065" w:rsidRPr="00E70F7A" w:rsidRDefault="00735065" w:rsidP="00FE603E">
            <w:pPr>
              <w:spacing w:after="120" w:line="312" w:lineRule="auto"/>
              <w:jc w:val="right"/>
              <w:rPr>
                <w:color w:val="000000"/>
                <w:sz w:val="26"/>
                <w:szCs w:val="26"/>
              </w:rPr>
            </w:pPr>
            <w:r w:rsidRPr="00E70F7A">
              <w:rPr>
                <w:color w:val="000000"/>
                <w:sz w:val="26"/>
                <w:szCs w:val="26"/>
                <w:lang w:val="vi-VN"/>
              </w:rPr>
              <w:t>261,3</w:t>
            </w:r>
          </w:p>
        </w:tc>
        <w:tc>
          <w:tcPr>
            <w:tcW w:w="1051" w:type="dxa"/>
            <w:shd w:val="clear" w:color="auto" w:fill="auto"/>
            <w:vAlign w:val="bottom"/>
            <w:hideMark/>
          </w:tcPr>
          <w:p w14:paraId="63D5C511" w14:textId="77777777" w:rsidR="00735065" w:rsidRPr="00E70F7A" w:rsidRDefault="00735065" w:rsidP="00FE603E">
            <w:pPr>
              <w:spacing w:after="120" w:line="312" w:lineRule="auto"/>
              <w:jc w:val="right"/>
              <w:rPr>
                <w:color w:val="000000"/>
                <w:sz w:val="26"/>
                <w:szCs w:val="26"/>
              </w:rPr>
            </w:pPr>
            <w:r w:rsidRPr="00E70F7A">
              <w:rPr>
                <w:color w:val="000000"/>
                <w:sz w:val="26"/>
                <w:szCs w:val="26"/>
                <w:lang w:val="vi-VN"/>
              </w:rPr>
              <w:t>87,1</w:t>
            </w:r>
          </w:p>
        </w:tc>
        <w:tc>
          <w:tcPr>
            <w:tcW w:w="1574" w:type="dxa"/>
            <w:shd w:val="clear" w:color="auto" w:fill="auto"/>
            <w:vAlign w:val="bottom"/>
            <w:hideMark/>
          </w:tcPr>
          <w:p w14:paraId="1AF61A02" w14:textId="77777777" w:rsidR="00735065" w:rsidRPr="00E70F7A" w:rsidRDefault="00735065" w:rsidP="00FE603E">
            <w:pPr>
              <w:spacing w:after="120" w:line="312" w:lineRule="auto"/>
              <w:jc w:val="right"/>
              <w:rPr>
                <w:color w:val="000000"/>
                <w:sz w:val="26"/>
                <w:szCs w:val="26"/>
                <w:lang w:val="vi-VN"/>
              </w:rPr>
            </w:pPr>
            <w:r w:rsidRPr="00E70F7A">
              <w:rPr>
                <w:color w:val="000000"/>
                <w:sz w:val="26"/>
                <w:szCs w:val="26"/>
                <w:lang w:val="vi-VN"/>
              </w:rPr>
              <w:t>106,153</w:t>
            </w:r>
          </w:p>
        </w:tc>
        <w:tc>
          <w:tcPr>
            <w:tcW w:w="1420" w:type="dxa"/>
            <w:shd w:val="clear" w:color="auto" w:fill="auto"/>
            <w:vAlign w:val="bottom"/>
            <w:hideMark/>
          </w:tcPr>
          <w:p w14:paraId="6E5089BA" w14:textId="77777777" w:rsidR="00735065" w:rsidRPr="00E70F7A" w:rsidRDefault="00735065" w:rsidP="00FE603E">
            <w:pPr>
              <w:spacing w:after="120" w:line="312" w:lineRule="auto"/>
              <w:jc w:val="right"/>
              <w:rPr>
                <w:color w:val="000000"/>
                <w:sz w:val="26"/>
                <w:szCs w:val="26"/>
              </w:rPr>
            </w:pPr>
            <w:r w:rsidRPr="00E70F7A">
              <w:rPr>
                <w:color w:val="000000"/>
                <w:sz w:val="26"/>
                <w:szCs w:val="26"/>
              </w:rPr>
              <w:t>77</w:t>
            </w:r>
          </w:p>
        </w:tc>
        <w:tc>
          <w:tcPr>
            <w:tcW w:w="1704" w:type="dxa"/>
            <w:shd w:val="clear" w:color="auto" w:fill="auto"/>
            <w:vAlign w:val="center"/>
            <w:hideMark/>
          </w:tcPr>
          <w:p w14:paraId="22C09DF5" w14:textId="77777777" w:rsidR="00735065" w:rsidRPr="00E70F7A" w:rsidRDefault="00735065" w:rsidP="00FE603E">
            <w:pPr>
              <w:spacing w:after="120" w:line="312" w:lineRule="auto"/>
              <w:jc w:val="center"/>
              <w:rPr>
                <w:color w:val="000000"/>
                <w:sz w:val="26"/>
                <w:szCs w:val="26"/>
              </w:rPr>
            </w:pPr>
            <w:r w:rsidRPr="00E70F7A">
              <w:rPr>
                <w:color w:val="000000"/>
                <w:sz w:val="26"/>
                <w:szCs w:val="26"/>
              </w:rPr>
              <w:t>Quý</w:t>
            </w:r>
            <w:r w:rsidRPr="00E70F7A">
              <w:rPr>
                <w:color w:val="000000"/>
                <w:sz w:val="26"/>
                <w:szCs w:val="26"/>
                <w:lang w:val="vi-VN"/>
              </w:rPr>
              <w:t xml:space="preserve"> III-IV/2021</w:t>
            </w:r>
          </w:p>
        </w:tc>
      </w:tr>
      <w:tr w:rsidR="00735065" w:rsidRPr="00391E7E" w14:paraId="56EBC45F" w14:textId="77777777" w:rsidTr="00E70F7A">
        <w:trPr>
          <w:trHeight w:val="324"/>
        </w:trPr>
        <w:tc>
          <w:tcPr>
            <w:tcW w:w="2311" w:type="dxa"/>
            <w:shd w:val="clear" w:color="auto" w:fill="auto"/>
            <w:vAlign w:val="center"/>
            <w:hideMark/>
          </w:tcPr>
          <w:p w14:paraId="736E7648" w14:textId="77777777" w:rsidR="00735065" w:rsidRPr="00E70F7A" w:rsidRDefault="00735065" w:rsidP="00FE603E">
            <w:pPr>
              <w:spacing w:after="120" w:line="312" w:lineRule="auto"/>
              <w:rPr>
                <w:b/>
                <w:bCs/>
                <w:color w:val="000000"/>
                <w:sz w:val="26"/>
                <w:szCs w:val="26"/>
              </w:rPr>
            </w:pPr>
            <w:r w:rsidRPr="00E70F7A">
              <w:rPr>
                <w:b/>
                <w:bCs/>
                <w:iCs/>
                <w:color w:val="000000"/>
                <w:sz w:val="26"/>
                <w:szCs w:val="26"/>
                <w:lang w:val="vi-VN"/>
              </w:rPr>
              <w:t xml:space="preserve">Cộng </w:t>
            </w:r>
          </w:p>
        </w:tc>
        <w:tc>
          <w:tcPr>
            <w:tcW w:w="913" w:type="dxa"/>
            <w:shd w:val="clear" w:color="auto" w:fill="auto"/>
            <w:vAlign w:val="center"/>
            <w:hideMark/>
          </w:tcPr>
          <w:p w14:paraId="6FBCA103" w14:textId="77777777" w:rsidR="00735065" w:rsidRPr="00E70F7A" w:rsidRDefault="00735065" w:rsidP="00FE603E">
            <w:pPr>
              <w:spacing w:after="120" w:line="312" w:lineRule="auto"/>
              <w:jc w:val="right"/>
              <w:rPr>
                <w:color w:val="000000"/>
                <w:sz w:val="26"/>
                <w:szCs w:val="26"/>
              </w:rPr>
            </w:pPr>
            <w:r w:rsidRPr="00E70F7A">
              <w:rPr>
                <w:color w:val="000000"/>
                <w:sz w:val="26"/>
                <w:szCs w:val="26"/>
                <w:lang w:val="vi-VN"/>
              </w:rPr>
              <w:t> </w:t>
            </w:r>
          </w:p>
        </w:tc>
        <w:tc>
          <w:tcPr>
            <w:tcW w:w="1217" w:type="dxa"/>
            <w:shd w:val="clear" w:color="auto" w:fill="auto"/>
            <w:vAlign w:val="center"/>
            <w:hideMark/>
          </w:tcPr>
          <w:p w14:paraId="3279EFD8" w14:textId="77777777" w:rsidR="00735065" w:rsidRPr="00E70F7A" w:rsidRDefault="00735065" w:rsidP="00FE603E">
            <w:pPr>
              <w:spacing w:after="120" w:line="312" w:lineRule="auto"/>
              <w:jc w:val="right"/>
              <w:rPr>
                <w:color w:val="000000"/>
                <w:sz w:val="26"/>
                <w:szCs w:val="26"/>
              </w:rPr>
            </w:pPr>
            <w:r w:rsidRPr="00E70F7A">
              <w:rPr>
                <w:color w:val="000000"/>
                <w:sz w:val="26"/>
                <w:szCs w:val="26"/>
                <w:lang w:val="vi-VN"/>
              </w:rPr>
              <w:t> </w:t>
            </w:r>
          </w:p>
        </w:tc>
        <w:tc>
          <w:tcPr>
            <w:tcW w:w="1051" w:type="dxa"/>
            <w:shd w:val="clear" w:color="auto" w:fill="auto"/>
            <w:vAlign w:val="center"/>
            <w:hideMark/>
          </w:tcPr>
          <w:p w14:paraId="0AF2FFC6" w14:textId="77777777" w:rsidR="00735065" w:rsidRPr="00E70F7A" w:rsidRDefault="00735065" w:rsidP="00FE603E">
            <w:pPr>
              <w:spacing w:after="120" w:line="312" w:lineRule="auto"/>
              <w:jc w:val="right"/>
              <w:rPr>
                <w:color w:val="000000"/>
                <w:sz w:val="26"/>
                <w:szCs w:val="26"/>
              </w:rPr>
            </w:pPr>
            <w:r w:rsidRPr="00E70F7A">
              <w:rPr>
                <w:color w:val="000000"/>
                <w:sz w:val="26"/>
                <w:szCs w:val="26"/>
                <w:lang w:val="vi-VN"/>
              </w:rPr>
              <w:t> </w:t>
            </w:r>
          </w:p>
        </w:tc>
        <w:tc>
          <w:tcPr>
            <w:tcW w:w="1574" w:type="dxa"/>
            <w:shd w:val="clear" w:color="auto" w:fill="auto"/>
            <w:vAlign w:val="center"/>
            <w:hideMark/>
          </w:tcPr>
          <w:p w14:paraId="274AFB4A" w14:textId="77777777" w:rsidR="00735065" w:rsidRPr="00E70F7A" w:rsidRDefault="00735065" w:rsidP="00FE603E">
            <w:pPr>
              <w:spacing w:after="120" w:line="312" w:lineRule="auto"/>
              <w:jc w:val="right"/>
              <w:rPr>
                <w:b/>
                <w:bCs/>
                <w:color w:val="000000"/>
                <w:sz w:val="26"/>
                <w:szCs w:val="26"/>
              </w:rPr>
            </w:pPr>
            <w:r w:rsidRPr="00E70F7A">
              <w:rPr>
                <w:b/>
                <w:bCs/>
                <w:iCs/>
                <w:color w:val="000000"/>
                <w:sz w:val="26"/>
                <w:szCs w:val="26"/>
              </w:rPr>
              <w:t> </w:t>
            </w:r>
          </w:p>
        </w:tc>
        <w:tc>
          <w:tcPr>
            <w:tcW w:w="1420" w:type="dxa"/>
            <w:shd w:val="clear" w:color="auto" w:fill="auto"/>
            <w:vAlign w:val="center"/>
            <w:hideMark/>
          </w:tcPr>
          <w:p w14:paraId="02970DBE" w14:textId="77777777" w:rsidR="00735065" w:rsidRPr="00E70F7A" w:rsidRDefault="00735065" w:rsidP="00FE603E">
            <w:pPr>
              <w:spacing w:after="120" w:line="312" w:lineRule="auto"/>
              <w:jc w:val="right"/>
              <w:rPr>
                <w:b/>
                <w:bCs/>
                <w:color w:val="000000"/>
                <w:sz w:val="26"/>
                <w:szCs w:val="26"/>
              </w:rPr>
            </w:pPr>
            <w:r w:rsidRPr="00E70F7A">
              <w:rPr>
                <w:b/>
                <w:bCs/>
                <w:iCs/>
                <w:color w:val="000000"/>
                <w:sz w:val="26"/>
                <w:szCs w:val="26"/>
              </w:rPr>
              <w:t>257</w:t>
            </w:r>
          </w:p>
        </w:tc>
        <w:tc>
          <w:tcPr>
            <w:tcW w:w="1704" w:type="dxa"/>
            <w:shd w:val="clear" w:color="auto" w:fill="auto"/>
            <w:vAlign w:val="center"/>
            <w:hideMark/>
          </w:tcPr>
          <w:p w14:paraId="77F6ECEA" w14:textId="77777777" w:rsidR="00735065" w:rsidRPr="00E70F7A" w:rsidRDefault="00735065" w:rsidP="00FE603E">
            <w:pPr>
              <w:spacing w:after="120" w:line="312" w:lineRule="auto"/>
              <w:rPr>
                <w:color w:val="000000"/>
                <w:sz w:val="26"/>
                <w:szCs w:val="26"/>
              </w:rPr>
            </w:pPr>
            <w:r w:rsidRPr="00E70F7A">
              <w:rPr>
                <w:bCs/>
                <w:iCs/>
                <w:color w:val="000000"/>
                <w:sz w:val="26"/>
                <w:szCs w:val="26"/>
                <w:lang w:val="vi-VN"/>
              </w:rPr>
              <w:t> </w:t>
            </w:r>
          </w:p>
        </w:tc>
      </w:tr>
    </w:tbl>
    <w:p w14:paraId="2DD9488E" w14:textId="77777777" w:rsidR="00735065" w:rsidRPr="00391E7E" w:rsidRDefault="00735065" w:rsidP="00735065">
      <w:pPr>
        <w:widowControl w:val="0"/>
        <w:numPr>
          <w:ilvl w:val="0"/>
          <w:numId w:val="3"/>
        </w:numPr>
        <w:tabs>
          <w:tab w:val="left" w:pos="360"/>
        </w:tabs>
        <w:suppressAutoHyphens/>
        <w:snapToGrid w:val="0"/>
        <w:spacing w:before="80" w:after="120" w:line="312" w:lineRule="auto"/>
        <w:jc w:val="both"/>
        <w:rPr>
          <w:bCs/>
          <w:sz w:val="28"/>
          <w:szCs w:val="28"/>
          <w:lang w:val="pt-BR"/>
        </w:rPr>
      </w:pPr>
      <w:r w:rsidRPr="00391E7E">
        <w:rPr>
          <w:sz w:val="28"/>
          <w:szCs w:val="28"/>
          <w:lang w:val="pt-BR"/>
        </w:rPr>
        <w:t>Phương</w:t>
      </w:r>
      <w:r w:rsidRPr="00391E7E">
        <w:rPr>
          <w:sz w:val="28"/>
          <w:szCs w:val="28"/>
          <w:lang w:val="vi-VN"/>
        </w:rPr>
        <w:t xml:space="preserve"> án bù đắp thiếu hụt vốn thu được từ đợt chào bán: </w:t>
      </w:r>
    </w:p>
    <w:p w14:paraId="03C1337A" w14:textId="77777777" w:rsidR="00735065" w:rsidRPr="00391E7E" w:rsidRDefault="00735065" w:rsidP="00223E18">
      <w:pPr>
        <w:widowControl w:val="0"/>
        <w:numPr>
          <w:ilvl w:val="1"/>
          <w:numId w:val="1"/>
        </w:numPr>
        <w:tabs>
          <w:tab w:val="left" w:pos="360"/>
        </w:tabs>
        <w:suppressAutoHyphens/>
        <w:snapToGrid w:val="0"/>
        <w:spacing w:before="80" w:after="120" w:line="312" w:lineRule="auto"/>
        <w:ind w:left="90" w:hanging="90"/>
        <w:jc w:val="both"/>
        <w:rPr>
          <w:bCs/>
          <w:sz w:val="28"/>
          <w:szCs w:val="28"/>
          <w:lang w:val="pt-BR"/>
        </w:rPr>
      </w:pPr>
      <w:r w:rsidRPr="00391E7E">
        <w:rPr>
          <w:sz w:val="28"/>
          <w:szCs w:val="28"/>
          <w:lang w:val="pt-BR"/>
        </w:rPr>
        <w:t>Trong</w:t>
      </w:r>
      <w:r w:rsidRPr="00391E7E">
        <w:rPr>
          <w:bCs/>
          <w:sz w:val="28"/>
          <w:szCs w:val="28"/>
          <w:lang w:val="pt-BR"/>
        </w:rPr>
        <w:t xml:space="preserve"> trường hợp số</w:t>
      </w:r>
      <w:r w:rsidRPr="00391E7E">
        <w:rPr>
          <w:bCs/>
          <w:sz w:val="28"/>
          <w:szCs w:val="28"/>
          <w:lang w:val="vi-VN"/>
        </w:rPr>
        <w:t xml:space="preserve"> tiền</w:t>
      </w:r>
      <w:r w:rsidRPr="00391E7E">
        <w:rPr>
          <w:bCs/>
          <w:sz w:val="28"/>
          <w:szCs w:val="28"/>
          <w:lang w:val="pt-BR"/>
        </w:rPr>
        <w:t xml:space="preserve"> thu được từ đợt chào bán không đủ  như dự</w:t>
      </w:r>
      <w:r w:rsidRPr="00391E7E">
        <w:rPr>
          <w:bCs/>
          <w:sz w:val="28"/>
          <w:szCs w:val="28"/>
          <w:lang w:val="vi-VN"/>
        </w:rPr>
        <w:t xml:space="preserve"> kiến</w:t>
      </w:r>
      <w:r w:rsidRPr="00391E7E">
        <w:rPr>
          <w:bCs/>
          <w:sz w:val="28"/>
          <w:szCs w:val="28"/>
          <w:lang w:val="pt-BR"/>
        </w:rPr>
        <w:t>, Công ty sẽ huy động các nguồn vốn</w:t>
      </w:r>
      <w:r w:rsidRPr="00391E7E">
        <w:rPr>
          <w:bCs/>
          <w:sz w:val="28"/>
          <w:szCs w:val="28"/>
          <w:lang w:val="vi-VN"/>
        </w:rPr>
        <w:t xml:space="preserve"> hợp pháp</w:t>
      </w:r>
      <w:r w:rsidRPr="00391E7E">
        <w:rPr>
          <w:bCs/>
          <w:sz w:val="28"/>
          <w:szCs w:val="28"/>
          <w:lang w:val="pt-BR"/>
        </w:rPr>
        <w:t xml:space="preserve"> khác </w:t>
      </w:r>
      <w:r w:rsidRPr="00391E7E">
        <w:rPr>
          <w:bCs/>
          <w:sz w:val="28"/>
          <w:szCs w:val="28"/>
          <w:lang w:val="vi-VN"/>
        </w:rPr>
        <w:t xml:space="preserve">(như vay ngân hàng, sử dụng vốn lưu động, sử dụng nguồn tiền từ bán dự án…) </w:t>
      </w:r>
      <w:r w:rsidRPr="00391E7E">
        <w:rPr>
          <w:bCs/>
          <w:sz w:val="28"/>
          <w:szCs w:val="28"/>
          <w:lang w:val="pt-BR"/>
        </w:rPr>
        <w:t>để đảm bảo việc góp vốn vào các công ty nói trên</w:t>
      </w:r>
      <w:r w:rsidRPr="00391E7E">
        <w:rPr>
          <w:bCs/>
          <w:sz w:val="28"/>
          <w:szCs w:val="28"/>
          <w:lang w:val="vi-VN"/>
        </w:rPr>
        <w:t xml:space="preserve"> như phương án đề ra. </w:t>
      </w:r>
    </w:p>
    <w:p w14:paraId="25E0722A" w14:textId="77777777" w:rsidR="00735065" w:rsidRPr="00391E7E" w:rsidRDefault="00735065" w:rsidP="00223E18">
      <w:pPr>
        <w:widowControl w:val="0"/>
        <w:numPr>
          <w:ilvl w:val="1"/>
          <w:numId w:val="1"/>
        </w:numPr>
        <w:tabs>
          <w:tab w:val="left" w:pos="360"/>
        </w:tabs>
        <w:suppressAutoHyphens/>
        <w:snapToGrid w:val="0"/>
        <w:spacing w:before="80" w:after="120" w:line="312" w:lineRule="auto"/>
        <w:ind w:left="90" w:hanging="90"/>
        <w:jc w:val="both"/>
        <w:rPr>
          <w:bCs/>
          <w:sz w:val="28"/>
          <w:szCs w:val="28"/>
          <w:lang w:val="pt-BR"/>
        </w:rPr>
      </w:pPr>
      <w:r w:rsidRPr="00391E7E">
        <w:rPr>
          <w:bCs/>
          <w:sz w:val="28"/>
          <w:szCs w:val="28"/>
          <w:lang w:val="pt-BR"/>
        </w:rPr>
        <w:t xml:space="preserve"> Hiện</w:t>
      </w:r>
      <w:r w:rsidRPr="00391E7E">
        <w:rPr>
          <w:bCs/>
          <w:sz w:val="28"/>
          <w:szCs w:val="28"/>
          <w:lang w:val="vi-VN"/>
        </w:rPr>
        <w:t xml:space="preserve"> tại, Công ty đã và đang tiến hành đàm phán bán bớt/chuyển nhượng những dự án mà không cần nắm giữ theo chiến lược phát triển của Công ty. Với nguồn tiền có được từ hoạt động này, việc đảm bảo vốn góp vào các công ty nêu trên là hoàn toàn khả thi.</w:t>
      </w:r>
    </w:p>
    <w:p w14:paraId="2E887A7E" w14:textId="77777777" w:rsidR="00735065" w:rsidRPr="006341DA" w:rsidRDefault="00735065" w:rsidP="00735065">
      <w:pPr>
        <w:numPr>
          <w:ilvl w:val="0"/>
          <w:numId w:val="7"/>
        </w:numPr>
        <w:spacing w:before="120" w:after="120" w:line="312" w:lineRule="auto"/>
        <w:contextualSpacing/>
        <w:jc w:val="both"/>
        <w:rPr>
          <w:b/>
          <w:bCs/>
          <w:iCs/>
          <w:spacing w:val="-4"/>
          <w:lang w:val="vi-VN"/>
        </w:rPr>
      </w:pPr>
      <w:r w:rsidRPr="006341DA">
        <w:rPr>
          <w:b/>
          <w:bCs/>
          <w:iCs/>
          <w:spacing w:val="-4"/>
          <w:lang w:val="vi-VN"/>
        </w:rPr>
        <w:t>LƯU KÝ VÀ NIÊM YẾT BỔ SUNG</w:t>
      </w:r>
    </w:p>
    <w:p w14:paraId="44D00752" w14:textId="0FC7561E" w:rsidR="00735065" w:rsidRDefault="00735065" w:rsidP="00735065">
      <w:pPr>
        <w:spacing w:before="120" w:after="120" w:line="312" w:lineRule="auto"/>
        <w:ind w:firstLine="714"/>
        <w:jc w:val="both"/>
        <w:rPr>
          <w:sz w:val="28"/>
          <w:szCs w:val="28"/>
        </w:rPr>
      </w:pPr>
      <w:r w:rsidRPr="00391E7E">
        <w:rPr>
          <w:sz w:val="28"/>
          <w:szCs w:val="28"/>
        </w:rPr>
        <w:t xml:space="preserve">Toàn bộ cổ phiếu phát hành thêm sẽ được đăng ký lưu ký bổ sung tại </w:t>
      </w:r>
      <w:r w:rsidR="00BB5E1D">
        <w:rPr>
          <w:sz w:val="28"/>
          <w:szCs w:val="28"/>
        </w:rPr>
        <w:t>Trung tâm</w:t>
      </w:r>
      <w:r w:rsidRPr="00391E7E">
        <w:rPr>
          <w:sz w:val="28"/>
          <w:szCs w:val="28"/>
        </w:rPr>
        <w:t xml:space="preserve"> Lưu ký</w:t>
      </w:r>
      <w:r w:rsidR="00BB5E1D">
        <w:rPr>
          <w:sz w:val="28"/>
          <w:szCs w:val="28"/>
        </w:rPr>
        <w:t xml:space="preserve"> C</w:t>
      </w:r>
      <w:r w:rsidRPr="00391E7E">
        <w:rPr>
          <w:sz w:val="28"/>
          <w:szCs w:val="28"/>
        </w:rPr>
        <w:t>hứng khoán Việt Nam (VSD) và niêm yết bổ sung trên Sở giao dịch chứng khoán Hà Nội theo quy định của pháp luật hiện hành.</w:t>
      </w:r>
    </w:p>
    <w:p w14:paraId="2B3DA108" w14:textId="6D3F64FC" w:rsidR="006341DA" w:rsidRPr="00BB5E1D" w:rsidRDefault="006341DA" w:rsidP="006341DA">
      <w:pPr>
        <w:pStyle w:val="ListParagraph"/>
        <w:numPr>
          <w:ilvl w:val="0"/>
          <w:numId w:val="7"/>
        </w:numPr>
        <w:spacing w:before="120" w:after="120" w:line="312" w:lineRule="auto"/>
        <w:jc w:val="both"/>
        <w:rPr>
          <w:b/>
          <w:color w:val="002060"/>
        </w:rPr>
      </w:pPr>
      <w:r w:rsidRPr="00BB5E1D">
        <w:rPr>
          <w:b/>
          <w:color w:val="002060"/>
        </w:rPr>
        <w:t>TĂNG VỐN ĐIỀU LỆ VÀ SỬA ĐỔI ĐIỀU LỆ CÔNG TY:</w:t>
      </w:r>
    </w:p>
    <w:p w14:paraId="3411F835" w14:textId="0F67474E" w:rsidR="00BB5E1D" w:rsidRPr="00BB5E1D" w:rsidRDefault="00BB5E1D" w:rsidP="00BB5E1D">
      <w:pPr>
        <w:spacing w:before="120" w:after="120" w:line="312" w:lineRule="auto"/>
        <w:ind w:firstLine="720"/>
        <w:jc w:val="both"/>
        <w:rPr>
          <w:color w:val="002060"/>
          <w:sz w:val="28"/>
          <w:szCs w:val="28"/>
        </w:rPr>
      </w:pPr>
      <w:r w:rsidRPr="00BB5E1D">
        <w:rPr>
          <w:color w:val="002060"/>
          <w:sz w:val="28"/>
          <w:szCs w:val="28"/>
        </w:rPr>
        <w:t xml:space="preserve">Thông qua việc đăng ký tăng vốn điều lệ với cơ quan Nhà nước có thẩm quyền theo qui định của Pháp luật và điều chỉnh vốn điều lệ trong Điều lệ tổ chức và hoạt động của Công ty tương ứng với tổng giá trị cổ phiếu (theo mệnh giá) thực tế phát hành sau khi kết thúc đợt phát hành. </w:t>
      </w:r>
    </w:p>
    <w:p w14:paraId="7BB59C91" w14:textId="77777777" w:rsidR="00735065" w:rsidRPr="006341DA" w:rsidRDefault="00735065" w:rsidP="00735065">
      <w:pPr>
        <w:numPr>
          <w:ilvl w:val="0"/>
          <w:numId w:val="7"/>
        </w:numPr>
        <w:spacing w:before="120" w:after="120" w:line="312" w:lineRule="auto"/>
        <w:contextualSpacing/>
        <w:jc w:val="both"/>
        <w:rPr>
          <w:b/>
          <w:lang w:val="pt-BR"/>
        </w:rPr>
      </w:pPr>
      <w:r w:rsidRPr="006341DA">
        <w:rPr>
          <w:b/>
          <w:lang w:val="pt-BR"/>
        </w:rPr>
        <w:t>UỶ</w:t>
      </w:r>
      <w:r w:rsidRPr="006341DA">
        <w:rPr>
          <w:b/>
          <w:lang w:val="vi-VN"/>
        </w:rPr>
        <w:t xml:space="preserve"> QUYỀN</w:t>
      </w:r>
    </w:p>
    <w:p w14:paraId="01446755" w14:textId="37678843" w:rsidR="00735065" w:rsidRPr="00391E7E" w:rsidRDefault="00735065" w:rsidP="00735065">
      <w:pPr>
        <w:spacing w:before="120" w:after="120" w:line="312" w:lineRule="auto"/>
        <w:ind w:firstLine="714"/>
        <w:jc w:val="both"/>
        <w:rPr>
          <w:bCs/>
          <w:sz w:val="28"/>
          <w:szCs w:val="28"/>
          <w:lang w:val="vi-VN"/>
        </w:rPr>
      </w:pPr>
      <w:r w:rsidRPr="00391E7E">
        <w:rPr>
          <w:bCs/>
          <w:sz w:val="28"/>
          <w:szCs w:val="28"/>
          <w:lang w:val="pt-BR"/>
        </w:rPr>
        <w:t>Đại</w:t>
      </w:r>
      <w:r w:rsidRPr="00391E7E">
        <w:rPr>
          <w:bCs/>
          <w:sz w:val="28"/>
          <w:szCs w:val="28"/>
          <w:lang w:val="vi-VN"/>
        </w:rPr>
        <w:t xml:space="preserve"> hội đồng</w:t>
      </w:r>
      <w:r w:rsidR="00BB5E1D">
        <w:rPr>
          <w:bCs/>
          <w:sz w:val="28"/>
          <w:szCs w:val="28"/>
          <w:lang w:val="vi-VN"/>
        </w:rPr>
        <w:t xml:space="preserve"> cổ đông uỷ quyền cho Hội đồng q</w:t>
      </w:r>
      <w:r w:rsidRPr="00391E7E">
        <w:rPr>
          <w:bCs/>
          <w:sz w:val="28"/>
          <w:szCs w:val="28"/>
          <w:lang w:val="vi-VN"/>
        </w:rPr>
        <w:t>uản trị quyết định tất cả các vấn đề liên quan đến đợt chào bán cổ phiếu riêng lẻ cho nhà đầu tư chứng khoán chuyên nghiệp, cụ thể:</w:t>
      </w:r>
    </w:p>
    <w:p w14:paraId="383CD6B6" w14:textId="77777777" w:rsidR="00735065" w:rsidRPr="00391E7E" w:rsidRDefault="00735065" w:rsidP="00735065">
      <w:pPr>
        <w:widowControl w:val="0"/>
        <w:numPr>
          <w:ilvl w:val="0"/>
          <w:numId w:val="3"/>
        </w:numPr>
        <w:tabs>
          <w:tab w:val="left" w:pos="360"/>
        </w:tabs>
        <w:suppressAutoHyphens/>
        <w:snapToGrid w:val="0"/>
        <w:spacing w:before="80" w:after="120" w:line="312" w:lineRule="auto"/>
        <w:jc w:val="both"/>
        <w:rPr>
          <w:sz w:val="28"/>
          <w:szCs w:val="28"/>
        </w:rPr>
      </w:pPr>
      <w:r w:rsidRPr="00391E7E">
        <w:rPr>
          <w:sz w:val="28"/>
          <w:szCs w:val="28"/>
          <w:lang w:val="pt-BR"/>
        </w:rPr>
        <w:t>Lựa</w:t>
      </w:r>
      <w:r w:rsidRPr="00391E7E">
        <w:rPr>
          <w:sz w:val="28"/>
          <w:szCs w:val="28"/>
        </w:rPr>
        <w:t xml:space="preserve"> chọn tổ chức tư vấn phát hành (nếu cần);</w:t>
      </w:r>
    </w:p>
    <w:p w14:paraId="1105CBC1" w14:textId="310D7ACC" w:rsidR="00735065" w:rsidRDefault="00735065" w:rsidP="00735065">
      <w:pPr>
        <w:widowControl w:val="0"/>
        <w:numPr>
          <w:ilvl w:val="0"/>
          <w:numId w:val="3"/>
        </w:numPr>
        <w:tabs>
          <w:tab w:val="left" w:pos="360"/>
        </w:tabs>
        <w:suppressAutoHyphens/>
        <w:snapToGrid w:val="0"/>
        <w:spacing w:before="80" w:after="120" w:line="312" w:lineRule="auto"/>
        <w:jc w:val="both"/>
        <w:rPr>
          <w:sz w:val="28"/>
          <w:szCs w:val="28"/>
        </w:rPr>
      </w:pPr>
      <w:r w:rsidRPr="00391E7E">
        <w:rPr>
          <w:sz w:val="28"/>
          <w:szCs w:val="28"/>
        </w:rPr>
        <w:t>Xây dựng và triển khai phương án phát hành chi tiết và tiến hành các thủ tục cần thiết khác để thực hiện việc phát hành;</w:t>
      </w:r>
    </w:p>
    <w:p w14:paraId="6D2CBB06" w14:textId="4AE08DA7" w:rsidR="00BB5E1D" w:rsidRPr="00391E7E" w:rsidRDefault="00BB5E1D" w:rsidP="00735065">
      <w:pPr>
        <w:widowControl w:val="0"/>
        <w:numPr>
          <w:ilvl w:val="0"/>
          <w:numId w:val="3"/>
        </w:numPr>
        <w:tabs>
          <w:tab w:val="left" w:pos="360"/>
        </w:tabs>
        <w:suppressAutoHyphens/>
        <w:snapToGrid w:val="0"/>
        <w:spacing w:before="80" w:after="120" w:line="312" w:lineRule="auto"/>
        <w:jc w:val="both"/>
        <w:rPr>
          <w:sz w:val="28"/>
          <w:szCs w:val="28"/>
        </w:rPr>
      </w:pPr>
      <w:r>
        <w:rPr>
          <w:sz w:val="28"/>
          <w:szCs w:val="28"/>
        </w:rPr>
        <w:t xml:space="preserve">Quyết định thời điểm cụ thể để thực hiện việc phát hành cổ phiếu:  </w:t>
      </w:r>
    </w:p>
    <w:p w14:paraId="26665C91" w14:textId="77777777" w:rsidR="00735065" w:rsidRPr="00391E7E" w:rsidRDefault="00735065" w:rsidP="00735065">
      <w:pPr>
        <w:widowControl w:val="0"/>
        <w:numPr>
          <w:ilvl w:val="0"/>
          <w:numId w:val="3"/>
        </w:numPr>
        <w:tabs>
          <w:tab w:val="left" w:pos="360"/>
        </w:tabs>
        <w:suppressAutoHyphens/>
        <w:snapToGrid w:val="0"/>
        <w:spacing w:before="80" w:after="120" w:line="312" w:lineRule="auto"/>
        <w:jc w:val="both"/>
        <w:rPr>
          <w:sz w:val="28"/>
          <w:szCs w:val="28"/>
        </w:rPr>
      </w:pPr>
      <w:r w:rsidRPr="00391E7E">
        <w:rPr>
          <w:sz w:val="28"/>
          <w:szCs w:val="28"/>
        </w:rPr>
        <w:t>Quyết</w:t>
      </w:r>
      <w:r w:rsidRPr="00391E7E">
        <w:rPr>
          <w:sz w:val="28"/>
          <w:szCs w:val="28"/>
          <w:lang w:val="vi-VN"/>
        </w:rPr>
        <w:t xml:space="preserve"> định </w:t>
      </w:r>
      <w:r w:rsidRPr="00391E7E">
        <w:rPr>
          <w:sz w:val="28"/>
          <w:szCs w:val="28"/>
        </w:rPr>
        <w:t>danh sách</w:t>
      </w:r>
      <w:r w:rsidRPr="00391E7E">
        <w:rPr>
          <w:sz w:val="28"/>
          <w:szCs w:val="28"/>
          <w:lang w:val="vi-VN"/>
        </w:rPr>
        <w:t xml:space="preserve"> nhà</w:t>
      </w:r>
      <w:r w:rsidRPr="00391E7E">
        <w:rPr>
          <w:sz w:val="28"/>
          <w:szCs w:val="28"/>
        </w:rPr>
        <w:t xml:space="preserve"> đầu tư chứng khoán chuyên nghiệp</w:t>
      </w:r>
      <w:r w:rsidRPr="00391E7E">
        <w:rPr>
          <w:sz w:val="28"/>
          <w:szCs w:val="28"/>
          <w:lang w:val="vi-VN"/>
        </w:rPr>
        <w:t xml:space="preserve"> trong nước được </w:t>
      </w:r>
      <w:r w:rsidRPr="00391E7E">
        <w:rPr>
          <w:sz w:val="28"/>
          <w:szCs w:val="28"/>
          <w:lang w:val="vi-VN"/>
        </w:rPr>
        <w:lastRenderedPageBreak/>
        <w:t>mua cổ phiếu</w:t>
      </w:r>
      <w:r w:rsidRPr="00391E7E">
        <w:rPr>
          <w:sz w:val="28"/>
          <w:szCs w:val="28"/>
        </w:rPr>
        <w:t xml:space="preserve"> và</w:t>
      </w:r>
      <w:r w:rsidRPr="00391E7E">
        <w:rPr>
          <w:sz w:val="28"/>
          <w:szCs w:val="28"/>
          <w:lang w:val="vi-VN"/>
        </w:rPr>
        <w:t xml:space="preserve"> số lượng</w:t>
      </w:r>
      <w:r w:rsidRPr="00391E7E">
        <w:rPr>
          <w:sz w:val="28"/>
          <w:szCs w:val="28"/>
        </w:rPr>
        <w:t xml:space="preserve"> cổ phiếu</w:t>
      </w:r>
      <w:r w:rsidRPr="00391E7E">
        <w:rPr>
          <w:sz w:val="28"/>
          <w:szCs w:val="28"/>
          <w:lang w:val="vi-VN"/>
        </w:rPr>
        <w:t xml:space="preserve"> chào bán cho từng nhà đầu tư, theo các tiêu chí nêu tại Phương án phát hành này. </w:t>
      </w:r>
    </w:p>
    <w:p w14:paraId="3FF9FC05" w14:textId="77777777" w:rsidR="00735065" w:rsidRPr="00391E7E" w:rsidRDefault="00735065" w:rsidP="00735065">
      <w:pPr>
        <w:widowControl w:val="0"/>
        <w:numPr>
          <w:ilvl w:val="0"/>
          <w:numId w:val="3"/>
        </w:numPr>
        <w:tabs>
          <w:tab w:val="left" w:pos="360"/>
        </w:tabs>
        <w:suppressAutoHyphens/>
        <w:snapToGrid w:val="0"/>
        <w:spacing w:before="80" w:after="120" w:line="312" w:lineRule="auto"/>
        <w:jc w:val="both"/>
        <w:rPr>
          <w:sz w:val="28"/>
          <w:szCs w:val="28"/>
        </w:rPr>
      </w:pPr>
      <w:r w:rsidRPr="00391E7E">
        <w:rPr>
          <w:sz w:val="28"/>
          <w:szCs w:val="28"/>
          <w:lang w:val="vi-VN"/>
        </w:rPr>
        <w:t>Điều chỉnh số lượng nhà đầu tư chứng khoán chuyên nghiệp được mua cổ phiếu, trong trường hợp cần thiết, phù hợp với tình hình thực tế.</w:t>
      </w:r>
    </w:p>
    <w:p w14:paraId="74462162" w14:textId="77777777" w:rsidR="00735065" w:rsidRPr="00391E7E" w:rsidRDefault="00735065" w:rsidP="00735065">
      <w:pPr>
        <w:widowControl w:val="0"/>
        <w:numPr>
          <w:ilvl w:val="0"/>
          <w:numId w:val="3"/>
        </w:numPr>
        <w:tabs>
          <w:tab w:val="left" w:pos="360"/>
        </w:tabs>
        <w:suppressAutoHyphens/>
        <w:snapToGrid w:val="0"/>
        <w:spacing w:before="80" w:after="120" w:line="312" w:lineRule="auto"/>
        <w:jc w:val="both"/>
        <w:rPr>
          <w:sz w:val="28"/>
          <w:szCs w:val="28"/>
        </w:rPr>
      </w:pPr>
      <w:r w:rsidRPr="00391E7E">
        <w:rPr>
          <w:sz w:val="28"/>
          <w:szCs w:val="28"/>
        </w:rPr>
        <w:t>Quyết</w:t>
      </w:r>
      <w:r w:rsidRPr="00391E7E">
        <w:rPr>
          <w:sz w:val="28"/>
          <w:szCs w:val="28"/>
          <w:lang w:val="vi-VN"/>
        </w:rPr>
        <w:t xml:space="preserve"> định việc phân phối số cổ phiếu không được mua hết cho các nhà đầu tư chứng khoán chuyên nghiệp khác với các điều kiện không thay đổi (nếu có)</w:t>
      </w:r>
    </w:p>
    <w:p w14:paraId="417B9713" w14:textId="41640192" w:rsidR="00735065" w:rsidRPr="00391E7E" w:rsidRDefault="00735065" w:rsidP="00735065">
      <w:pPr>
        <w:widowControl w:val="0"/>
        <w:numPr>
          <w:ilvl w:val="0"/>
          <w:numId w:val="3"/>
        </w:numPr>
        <w:tabs>
          <w:tab w:val="left" w:pos="360"/>
        </w:tabs>
        <w:suppressAutoHyphens/>
        <w:snapToGrid w:val="0"/>
        <w:spacing w:before="80" w:after="120" w:line="312" w:lineRule="auto"/>
        <w:jc w:val="both"/>
        <w:rPr>
          <w:sz w:val="28"/>
          <w:szCs w:val="28"/>
        </w:rPr>
      </w:pPr>
      <w:r w:rsidRPr="00391E7E">
        <w:rPr>
          <w:sz w:val="28"/>
          <w:szCs w:val="28"/>
        </w:rPr>
        <w:t>Điều chỉnh phương án sử dụng vốn thu được từ đợt phát hành trong trường hợp cần thiết</w:t>
      </w:r>
      <w:r w:rsidRPr="00391E7E">
        <w:rPr>
          <w:sz w:val="28"/>
          <w:szCs w:val="28"/>
          <w:lang w:val="vi-VN"/>
        </w:rPr>
        <w:t>,</w:t>
      </w:r>
      <w:r w:rsidR="00BB5E1D">
        <w:rPr>
          <w:sz w:val="28"/>
          <w:szCs w:val="28"/>
        </w:rPr>
        <w:t xml:space="preserve"> </w:t>
      </w:r>
      <w:r w:rsidRPr="00391E7E">
        <w:rPr>
          <w:sz w:val="28"/>
          <w:szCs w:val="28"/>
        </w:rPr>
        <w:t>phù hợp với tình hình thực tế, chiến lược đầu tư và định hướng phát triển của Công ty và</w:t>
      </w:r>
      <w:r w:rsidRPr="00391E7E">
        <w:rPr>
          <w:sz w:val="28"/>
          <w:szCs w:val="28"/>
          <w:lang w:val="vi-VN"/>
        </w:rPr>
        <w:t xml:space="preserve"> </w:t>
      </w:r>
      <w:r w:rsidRPr="00391E7E">
        <w:rPr>
          <w:sz w:val="28"/>
          <w:szCs w:val="28"/>
        </w:rPr>
        <w:t>theo đúng quy định của pháp luật;</w:t>
      </w:r>
    </w:p>
    <w:p w14:paraId="3D5F9216" w14:textId="77777777" w:rsidR="00735065" w:rsidRPr="00391E7E" w:rsidRDefault="00735065" w:rsidP="00735065">
      <w:pPr>
        <w:widowControl w:val="0"/>
        <w:numPr>
          <w:ilvl w:val="0"/>
          <w:numId w:val="3"/>
        </w:numPr>
        <w:tabs>
          <w:tab w:val="left" w:pos="360"/>
        </w:tabs>
        <w:suppressAutoHyphens/>
        <w:snapToGrid w:val="0"/>
        <w:spacing w:before="80" w:after="120" w:line="312" w:lineRule="auto"/>
        <w:jc w:val="both"/>
        <w:rPr>
          <w:sz w:val="28"/>
          <w:szCs w:val="28"/>
        </w:rPr>
      </w:pPr>
      <w:r w:rsidRPr="00391E7E">
        <w:rPr>
          <w:sz w:val="28"/>
          <w:szCs w:val="28"/>
        </w:rPr>
        <w:t>Thực hiện thay đổi mức vốn điều lệ trong Điều lệ công ty, đăng ký kinh doanh tại Sở Kế hoạch và Đầu tư và các công việc khác liên quan theo quy định của pháp luật;</w:t>
      </w:r>
    </w:p>
    <w:p w14:paraId="16743C32" w14:textId="2A6AF848" w:rsidR="00735065" w:rsidRPr="00391E7E" w:rsidRDefault="00735065" w:rsidP="00735065">
      <w:pPr>
        <w:widowControl w:val="0"/>
        <w:numPr>
          <w:ilvl w:val="0"/>
          <w:numId w:val="3"/>
        </w:numPr>
        <w:tabs>
          <w:tab w:val="left" w:pos="360"/>
        </w:tabs>
        <w:suppressAutoHyphens/>
        <w:snapToGrid w:val="0"/>
        <w:spacing w:before="80" w:after="120" w:line="312" w:lineRule="auto"/>
        <w:jc w:val="both"/>
        <w:rPr>
          <w:sz w:val="28"/>
          <w:szCs w:val="28"/>
        </w:rPr>
      </w:pPr>
      <w:r w:rsidRPr="00391E7E">
        <w:rPr>
          <w:sz w:val="28"/>
          <w:szCs w:val="28"/>
        </w:rPr>
        <w:t xml:space="preserve">Hoàn tất các thủ tục liên quan đến việc lưu ký bổ sung tại </w:t>
      </w:r>
      <w:r w:rsidR="00356130">
        <w:rPr>
          <w:sz w:val="28"/>
          <w:szCs w:val="28"/>
        </w:rPr>
        <w:t>Trung tâm</w:t>
      </w:r>
      <w:r w:rsidRPr="00391E7E">
        <w:rPr>
          <w:sz w:val="28"/>
          <w:szCs w:val="28"/>
        </w:rPr>
        <w:t xml:space="preserve"> Lưu ký </w:t>
      </w:r>
      <w:r w:rsidR="00356130">
        <w:rPr>
          <w:sz w:val="28"/>
          <w:szCs w:val="28"/>
        </w:rPr>
        <w:t>C</w:t>
      </w:r>
      <w:r w:rsidRPr="00391E7E">
        <w:rPr>
          <w:sz w:val="28"/>
          <w:szCs w:val="28"/>
        </w:rPr>
        <w:t>hứng khoán Việt Nam (VSD) và niêm yết bổ sung trên Sở giao dịch chứng khoán Hà Nội theo quy định của pháp luật hiện hành;</w:t>
      </w:r>
    </w:p>
    <w:p w14:paraId="04361AB7" w14:textId="77777777" w:rsidR="00735065" w:rsidRPr="00391E7E" w:rsidRDefault="00735065" w:rsidP="00735065">
      <w:pPr>
        <w:widowControl w:val="0"/>
        <w:numPr>
          <w:ilvl w:val="0"/>
          <w:numId w:val="3"/>
        </w:numPr>
        <w:tabs>
          <w:tab w:val="left" w:pos="360"/>
        </w:tabs>
        <w:suppressAutoHyphens/>
        <w:snapToGrid w:val="0"/>
        <w:spacing w:before="80" w:after="120" w:line="312" w:lineRule="auto"/>
        <w:jc w:val="both"/>
        <w:rPr>
          <w:sz w:val="28"/>
          <w:szCs w:val="28"/>
        </w:rPr>
      </w:pPr>
      <w:r w:rsidRPr="00391E7E">
        <w:rPr>
          <w:sz w:val="28"/>
          <w:szCs w:val="28"/>
        </w:rPr>
        <w:t>Các vấn đề liên quan cần thiết khác (nếu có).</w:t>
      </w:r>
    </w:p>
    <w:p w14:paraId="6E2049FB" w14:textId="77777777" w:rsidR="00DF307C" w:rsidRPr="00DF307C" w:rsidRDefault="00DF307C" w:rsidP="00DF307C">
      <w:pPr>
        <w:spacing w:before="120" w:line="257" w:lineRule="auto"/>
        <w:ind w:left="360" w:firstLine="360"/>
        <w:jc w:val="both"/>
        <w:rPr>
          <w:i/>
          <w:sz w:val="28"/>
          <w:szCs w:val="26"/>
          <w:lang w:val="nl-NL"/>
        </w:rPr>
      </w:pPr>
      <w:r w:rsidRPr="00DF307C">
        <w:rPr>
          <w:i/>
          <w:sz w:val="28"/>
          <w:szCs w:val="26"/>
          <w:lang w:val="nl-NL"/>
        </w:rPr>
        <w:t>Kính trình các Quí vị cổ đông xem xét, biểu quyết thông qua.</w:t>
      </w:r>
    </w:p>
    <w:p w14:paraId="67C30370" w14:textId="77777777" w:rsidR="00DF307C" w:rsidRPr="00DF307C" w:rsidRDefault="00DF307C" w:rsidP="00DF307C">
      <w:pPr>
        <w:spacing w:before="120" w:after="120" w:line="257" w:lineRule="auto"/>
        <w:ind w:firstLine="720"/>
        <w:jc w:val="both"/>
        <w:rPr>
          <w:sz w:val="28"/>
          <w:szCs w:val="26"/>
          <w:lang w:val="nl-NL"/>
        </w:rPr>
      </w:pPr>
      <w:r w:rsidRPr="00DF307C">
        <w:rPr>
          <w:i/>
          <w:sz w:val="28"/>
          <w:szCs w:val="26"/>
          <w:lang w:val="nl-NL"/>
        </w:rPr>
        <w:t>Trân trọng cảm ơn!</w:t>
      </w:r>
    </w:p>
    <w:p w14:paraId="2AAB9C13" w14:textId="77777777" w:rsidR="00735065" w:rsidRPr="00391E7E" w:rsidRDefault="00735065" w:rsidP="00735065">
      <w:pPr>
        <w:widowControl w:val="0"/>
        <w:tabs>
          <w:tab w:val="left" w:pos="360"/>
        </w:tabs>
        <w:suppressAutoHyphens/>
        <w:snapToGrid w:val="0"/>
        <w:spacing w:before="80" w:after="120" w:line="312" w:lineRule="auto"/>
        <w:ind w:left="720"/>
        <w:jc w:val="both"/>
        <w:rPr>
          <w:sz w:val="28"/>
          <w:szCs w:val="28"/>
        </w:rPr>
      </w:pPr>
    </w:p>
    <w:tbl>
      <w:tblPr>
        <w:tblW w:w="0" w:type="auto"/>
        <w:tblLook w:val="04A0" w:firstRow="1" w:lastRow="0" w:firstColumn="1" w:lastColumn="0" w:noHBand="0" w:noVBand="1"/>
      </w:tblPr>
      <w:tblGrid>
        <w:gridCol w:w="5034"/>
        <w:gridCol w:w="4326"/>
      </w:tblGrid>
      <w:tr w:rsidR="00735065" w:rsidRPr="00F013D5" w14:paraId="402E6C98" w14:textId="77777777" w:rsidTr="00287636">
        <w:tc>
          <w:tcPr>
            <w:tcW w:w="5034" w:type="dxa"/>
          </w:tcPr>
          <w:p w14:paraId="148F4438" w14:textId="77777777" w:rsidR="00735065" w:rsidRPr="00F013D5" w:rsidRDefault="00735065" w:rsidP="00FE603E">
            <w:pPr>
              <w:spacing w:after="120" w:line="312" w:lineRule="auto"/>
              <w:jc w:val="both"/>
              <w:rPr>
                <w:b/>
                <w:i/>
                <w:sz w:val="26"/>
                <w:u w:val="single"/>
                <w:lang w:val="pt-BR"/>
              </w:rPr>
            </w:pPr>
          </w:p>
          <w:p w14:paraId="5738DE7A" w14:textId="77777777" w:rsidR="00735065" w:rsidRPr="00A932ED" w:rsidRDefault="00735065" w:rsidP="00FE603E">
            <w:pPr>
              <w:spacing w:after="120" w:line="312" w:lineRule="auto"/>
              <w:jc w:val="both"/>
              <w:rPr>
                <w:b/>
                <w:i/>
                <w:u w:val="single"/>
              </w:rPr>
            </w:pPr>
            <w:r w:rsidRPr="00A932ED">
              <w:rPr>
                <w:b/>
                <w:i/>
                <w:u w:val="single"/>
              </w:rPr>
              <w:t>Nơi nhận:</w:t>
            </w:r>
          </w:p>
          <w:p w14:paraId="02ADA084" w14:textId="433EDC1A" w:rsidR="00223E18" w:rsidRDefault="00223E18" w:rsidP="00223E18">
            <w:pPr>
              <w:ind w:left="360"/>
              <w:jc w:val="both"/>
              <w:rPr>
                <w:bCs/>
                <w:iCs/>
                <w:lang w:val="pt-BR"/>
              </w:rPr>
            </w:pPr>
            <w:r>
              <w:rPr>
                <w:bCs/>
                <w:iCs/>
                <w:lang w:val="pt-BR"/>
              </w:rPr>
              <w:t>- Cổ đông LIG;</w:t>
            </w:r>
          </w:p>
          <w:p w14:paraId="3BBBC8C2" w14:textId="01B8CDBB" w:rsidR="00735065" w:rsidRPr="00D95248" w:rsidRDefault="00735065" w:rsidP="00223E18">
            <w:pPr>
              <w:ind w:left="360"/>
              <w:jc w:val="both"/>
              <w:rPr>
                <w:bCs/>
                <w:iCs/>
                <w:lang w:val="pt-BR"/>
              </w:rPr>
            </w:pPr>
            <w:r>
              <w:rPr>
                <w:bCs/>
                <w:iCs/>
                <w:lang w:val="pt-BR"/>
              </w:rPr>
              <w:t>-</w:t>
            </w:r>
            <w:r w:rsidR="00320006">
              <w:rPr>
                <w:bCs/>
                <w:iCs/>
                <w:lang w:val="pt-BR"/>
              </w:rPr>
              <w:t xml:space="preserve"> </w:t>
            </w:r>
            <w:r w:rsidRPr="00D95248">
              <w:rPr>
                <w:bCs/>
                <w:iCs/>
                <w:lang w:val="pt-BR"/>
              </w:rPr>
              <w:t>HĐQT, BKS, Ban TGĐ;</w:t>
            </w:r>
          </w:p>
          <w:p w14:paraId="2E119D88" w14:textId="29B939FB" w:rsidR="00735065" w:rsidRPr="00D95248" w:rsidRDefault="00735065" w:rsidP="00223E18">
            <w:pPr>
              <w:ind w:left="360"/>
              <w:jc w:val="both"/>
              <w:rPr>
                <w:iCs/>
                <w:sz w:val="26"/>
              </w:rPr>
            </w:pPr>
            <w:r>
              <w:rPr>
                <w:bCs/>
                <w:iCs/>
                <w:lang w:val="pt-BR"/>
              </w:rPr>
              <w:t>-</w:t>
            </w:r>
            <w:r w:rsidR="00320006">
              <w:rPr>
                <w:bCs/>
                <w:iCs/>
                <w:lang w:val="pt-BR"/>
              </w:rPr>
              <w:t xml:space="preserve"> </w:t>
            </w:r>
            <w:r w:rsidRPr="00D95248">
              <w:rPr>
                <w:bCs/>
                <w:iCs/>
                <w:lang w:val="pt-BR"/>
              </w:rPr>
              <w:t xml:space="preserve">Lưu </w:t>
            </w:r>
            <w:r w:rsidR="00356130">
              <w:rPr>
                <w:bCs/>
                <w:iCs/>
                <w:lang w:val="pt-BR"/>
              </w:rPr>
              <w:t>KHTH</w:t>
            </w:r>
            <w:r w:rsidRPr="00D95248">
              <w:rPr>
                <w:iCs/>
              </w:rPr>
              <w:t>.</w:t>
            </w:r>
          </w:p>
          <w:p w14:paraId="74D54930" w14:textId="77777777" w:rsidR="00735065" w:rsidRPr="00F013D5" w:rsidRDefault="00735065" w:rsidP="00FE603E">
            <w:pPr>
              <w:spacing w:after="120" w:line="312" w:lineRule="auto"/>
              <w:jc w:val="both"/>
              <w:rPr>
                <w:sz w:val="26"/>
              </w:rPr>
            </w:pPr>
          </w:p>
        </w:tc>
        <w:tc>
          <w:tcPr>
            <w:tcW w:w="4326" w:type="dxa"/>
          </w:tcPr>
          <w:p w14:paraId="3565AE06" w14:textId="77777777" w:rsidR="00735065" w:rsidRPr="00F013D5" w:rsidRDefault="00735065" w:rsidP="00223E18">
            <w:pPr>
              <w:jc w:val="center"/>
              <w:rPr>
                <w:b/>
                <w:sz w:val="26"/>
                <w:lang w:val="fr-FR"/>
              </w:rPr>
            </w:pPr>
            <w:r w:rsidRPr="00F013D5">
              <w:rPr>
                <w:b/>
                <w:sz w:val="26"/>
                <w:lang w:val="fr-FR"/>
              </w:rPr>
              <w:t>T/M. HỘI ĐỒNG QUẢN TRỊ</w:t>
            </w:r>
          </w:p>
          <w:p w14:paraId="18D1F220" w14:textId="77777777" w:rsidR="00735065" w:rsidRPr="00F013D5" w:rsidRDefault="00735065" w:rsidP="00223E18">
            <w:pPr>
              <w:jc w:val="center"/>
              <w:rPr>
                <w:b/>
                <w:sz w:val="26"/>
                <w:lang w:val="fr-FR"/>
              </w:rPr>
            </w:pPr>
            <w:r w:rsidRPr="00F013D5">
              <w:rPr>
                <w:b/>
                <w:sz w:val="26"/>
                <w:lang w:val="fr-FR"/>
              </w:rPr>
              <w:t xml:space="preserve">CHỦ TỊCH </w:t>
            </w:r>
          </w:p>
          <w:p w14:paraId="49427637" w14:textId="77777777" w:rsidR="00735065" w:rsidRPr="00F013D5" w:rsidRDefault="00735065" w:rsidP="00FE603E">
            <w:pPr>
              <w:spacing w:after="120" w:line="312" w:lineRule="auto"/>
              <w:jc w:val="center"/>
              <w:rPr>
                <w:sz w:val="26"/>
                <w:lang w:val="fr-FR"/>
              </w:rPr>
            </w:pPr>
          </w:p>
          <w:p w14:paraId="38BC4E4B" w14:textId="77777777" w:rsidR="00735065" w:rsidRDefault="006341DA" w:rsidP="00FE603E">
            <w:pPr>
              <w:spacing w:before="360" w:after="120" w:line="312" w:lineRule="auto"/>
              <w:jc w:val="center"/>
              <w:rPr>
                <w:b/>
                <w:sz w:val="26"/>
                <w:lang w:val="fr-FR"/>
              </w:rPr>
            </w:pPr>
            <w:r>
              <w:rPr>
                <w:b/>
                <w:sz w:val="26"/>
                <w:lang w:val="fr-FR"/>
              </w:rPr>
              <w:t xml:space="preserve"> </w:t>
            </w:r>
          </w:p>
          <w:p w14:paraId="3119A728" w14:textId="63C5BC0A" w:rsidR="006341DA" w:rsidRPr="006341DA" w:rsidRDefault="006341DA" w:rsidP="00FE603E">
            <w:pPr>
              <w:spacing w:before="360" w:after="120" w:line="312" w:lineRule="auto"/>
              <w:jc w:val="center"/>
              <w:rPr>
                <w:b/>
                <w:sz w:val="28"/>
                <w:szCs w:val="28"/>
                <w:lang w:val="fr-FR"/>
              </w:rPr>
            </w:pPr>
            <w:r w:rsidRPr="006341DA">
              <w:rPr>
                <w:b/>
                <w:sz w:val="28"/>
                <w:szCs w:val="28"/>
                <w:lang w:val="fr-FR"/>
              </w:rPr>
              <w:t>Bùi Đình Sơn</w:t>
            </w:r>
          </w:p>
        </w:tc>
      </w:tr>
    </w:tbl>
    <w:p w14:paraId="560DC18A" w14:textId="77777777" w:rsidR="00991971" w:rsidRDefault="00991971" w:rsidP="00991971">
      <w:pPr>
        <w:spacing w:before="120" w:line="252" w:lineRule="auto"/>
        <w:jc w:val="center"/>
        <w:rPr>
          <w:b/>
          <w:bCs/>
          <w:sz w:val="30"/>
          <w:szCs w:val="30"/>
        </w:rPr>
      </w:pPr>
    </w:p>
    <w:p w14:paraId="68C6AC2A" w14:textId="77777777" w:rsidR="00991971" w:rsidRDefault="00991971" w:rsidP="00991971">
      <w:pPr>
        <w:spacing w:before="120" w:line="252" w:lineRule="auto"/>
        <w:jc w:val="center"/>
        <w:rPr>
          <w:b/>
          <w:bCs/>
          <w:sz w:val="30"/>
          <w:szCs w:val="30"/>
        </w:rPr>
      </w:pPr>
    </w:p>
    <w:p w14:paraId="28C7A9B7" w14:textId="77777777" w:rsidR="00991971" w:rsidRDefault="00991971" w:rsidP="00991971">
      <w:pPr>
        <w:spacing w:before="120" w:line="252" w:lineRule="auto"/>
        <w:jc w:val="center"/>
        <w:rPr>
          <w:b/>
          <w:bCs/>
          <w:sz w:val="30"/>
          <w:szCs w:val="30"/>
        </w:rPr>
      </w:pPr>
    </w:p>
    <w:p w14:paraId="0EC69EE2" w14:textId="77777777" w:rsidR="00991971" w:rsidRDefault="00991971" w:rsidP="00991971">
      <w:pPr>
        <w:spacing w:before="120" w:line="252" w:lineRule="auto"/>
        <w:jc w:val="center"/>
        <w:rPr>
          <w:b/>
          <w:bCs/>
          <w:sz w:val="30"/>
          <w:szCs w:val="30"/>
        </w:rPr>
      </w:pPr>
    </w:p>
    <w:p w14:paraId="74CA0FED" w14:textId="77777777" w:rsidR="00991971" w:rsidRDefault="00991971" w:rsidP="00991971">
      <w:pPr>
        <w:spacing w:before="120" w:line="252" w:lineRule="auto"/>
        <w:jc w:val="center"/>
        <w:rPr>
          <w:b/>
          <w:bCs/>
          <w:sz w:val="30"/>
          <w:szCs w:val="30"/>
        </w:rPr>
      </w:pPr>
    </w:p>
    <w:p w14:paraId="06D1F069" w14:textId="77777777" w:rsidR="00991971" w:rsidRDefault="00991971" w:rsidP="00991971">
      <w:pPr>
        <w:spacing w:before="120" w:line="252" w:lineRule="auto"/>
        <w:jc w:val="center"/>
        <w:rPr>
          <w:b/>
          <w:bCs/>
          <w:sz w:val="30"/>
          <w:szCs w:val="30"/>
        </w:rPr>
      </w:pPr>
    </w:p>
    <w:p w14:paraId="3F00A29E" w14:textId="77777777" w:rsidR="00991971" w:rsidRDefault="00991971" w:rsidP="00991971">
      <w:pPr>
        <w:spacing w:before="120" w:line="252" w:lineRule="auto"/>
        <w:jc w:val="center"/>
        <w:rPr>
          <w:b/>
          <w:bCs/>
          <w:sz w:val="30"/>
          <w:szCs w:val="30"/>
        </w:rPr>
      </w:pPr>
    </w:p>
    <w:p w14:paraId="166B6343" w14:textId="77777777" w:rsidR="00991971" w:rsidRDefault="00991971" w:rsidP="00991971">
      <w:pPr>
        <w:spacing w:before="120" w:line="252" w:lineRule="auto"/>
        <w:jc w:val="center"/>
        <w:rPr>
          <w:b/>
          <w:bCs/>
          <w:sz w:val="30"/>
          <w:szCs w:val="30"/>
        </w:rPr>
      </w:pPr>
    </w:p>
    <w:p w14:paraId="30CBCF57" w14:textId="77777777" w:rsidR="00991971" w:rsidRDefault="00991971" w:rsidP="00991971">
      <w:pPr>
        <w:spacing w:before="120" w:line="252" w:lineRule="auto"/>
        <w:jc w:val="center"/>
        <w:rPr>
          <w:b/>
          <w:bCs/>
          <w:sz w:val="30"/>
          <w:szCs w:val="30"/>
        </w:rPr>
      </w:pPr>
    </w:p>
    <w:p w14:paraId="15DE19D2" w14:textId="77777777" w:rsidR="00991971" w:rsidRDefault="00991971" w:rsidP="00991971">
      <w:pPr>
        <w:spacing w:before="120" w:line="252" w:lineRule="auto"/>
        <w:jc w:val="center"/>
        <w:rPr>
          <w:b/>
          <w:bCs/>
          <w:sz w:val="30"/>
          <w:szCs w:val="30"/>
        </w:rPr>
      </w:pPr>
    </w:p>
    <w:p w14:paraId="04913F45" w14:textId="77777777" w:rsidR="00991971" w:rsidRDefault="00991971" w:rsidP="00991971">
      <w:pPr>
        <w:spacing w:before="120" w:line="252" w:lineRule="auto"/>
        <w:jc w:val="center"/>
        <w:rPr>
          <w:b/>
          <w:bCs/>
          <w:sz w:val="30"/>
          <w:szCs w:val="30"/>
        </w:rPr>
      </w:pPr>
    </w:p>
    <w:p w14:paraId="5334F376" w14:textId="77777777" w:rsidR="00991971" w:rsidRDefault="00991971" w:rsidP="00991971">
      <w:pPr>
        <w:spacing w:before="120" w:line="252" w:lineRule="auto"/>
        <w:jc w:val="center"/>
        <w:rPr>
          <w:b/>
          <w:bCs/>
          <w:sz w:val="30"/>
          <w:szCs w:val="30"/>
        </w:rPr>
      </w:pPr>
    </w:p>
    <w:p w14:paraId="316CD4F4" w14:textId="77777777" w:rsidR="00991971" w:rsidRDefault="00991971" w:rsidP="00991971">
      <w:pPr>
        <w:spacing w:before="120" w:line="252" w:lineRule="auto"/>
        <w:jc w:val="center"/>
        <w:rPr>
          <w:b/>
          <w:bCs/>
          <w:sz w:val="30"/>
          <w:szCs w:val="30"/>
        </w:rPr>
      </w:pPr>
    </w:p>
    <w:p w14:paraId="37325B60" w14:textId="77777777" w:rsidR="00991971" w:rsidRDefault="00991971" w:rsidP="00991971">
      <w:pPr>
        <w:spacing w:before="120" w:line="252" w:lineRule="auto"/>
        <w:jc w:val="center"/>
        <w:rPr>
          <w:b/>
          <w:bCs/>
          <w:sz w:val="30"/>
          <w:szCs w:val="30"/>
        </w:rPr>
      </w:pPr>
    </w:p>
    <w:p w14:paraId="21E83756" w14:textId="77777777" w:rsidR="00991971" w:rsidRDefault="00991971" w:rsidP="00991971">
      <w:pPr>
        <w:spacing w:before="120" w:line="252" w:lineRule="auto"/>
        <w:jc w:val="center"/>
        <w:rPr>
          <w:b/>
          <w:bCs/>
          <w:sz w:val="30"/>
          <w:szCs w:val="30"/>
        </w:rPr>
      </w:pPr>
    </w:p>
    <w:p w14:paraId="649FA054" w14:textId="77777777" w:rsidR="00991971" w:rsidRDefault="00991971" w:rsidP="00991971">
      <w:pPr>
        <w:spacing w:before="120" w:line="252" w:lineRule="auto"/>
        <w:jc w:val="center"/>
        <w:rPr>
          <w:b/>
          <w:bCs/>
          <w:sz w:val="30"/>
          <w:szCs w:val="30"/>
        </w:rPr>
      </w:pPr>
    </w:p>
    <w:p w14:paraId="5AD6984C" w14:textId="77777777" w:rsidR="00991971" w:rsidRDefault="00991971" w:rsidP="00991971">
      <w:pPr>
        <w:spacing w:before="120" w:line="252" w:lineRule="auto"/>
        <w:jc w:val="center"/>
        <w:rPr>
          <w:b/>
          <w:bCs/>
          <w:sz w:val="30"/>
          <w:szCs w:val="30"/>
        </w:rPr>
      </w:pPr>
    </w:p>
    <w:p w14:paraId="759D7705" w14:textId="77777777" w:rsidR="00B308E7" w:rsidRDefault="00B308E7"/>
    <w:sectPr w:rsidR="00B308E7" w:rsidSect="005738B9">
      <w:pgSz w:w="11909" w:h="16834" w:code="9"/>
      <w:pgMar w:top="1080" w:right="1109"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2F832" w14:textId="77777777" w:rsidR="003C12DF" w:rsidRDefault="003C12DF">
      <w:r>
        <w:separator/>
      </w:r>
    </w:p>
  </w:endnote>
  <w:endnote w:type="continuationSeparator" w:id="0">
    <w:p w14:paraId="3AE7A7FB" w14:textId="77777777" w:rsidR="003C12DF" w:rsidRDefault="003C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F1898" w14:textId="77777777" w:rsidR="003C12DF" w:rsidRDefault="003C12DF">
      <w:r>
        <w:separator/>
      </w:r>
    </w:p>
  </w:footnote>
  <w:footnote w:type="continuationSeparator" w:id="0">
    <w:p w14:paraId="78038A54" w14:textId="77777777" w:rsidR="003C12DF" w:rsidRDefault="003C12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35F"/>
    <w:multiLevelType w:val="hybridMultilevel"/>
    <w:tmpl w:val="A818274C"/>
    <w:lvl w:ilvl="0" w:tplc="EB38801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4C5D"/>
    <w:multiLevelType w:val="hybridMultilevel"/>
    <w:tmpl w:val="D8B8BE48"/>
    <w:lvl w:ilvl="0" w:tplc="EC6C8EF6">
      <w:start w:val="1"/>
      <w:numFmt w:val="upperRoman"/>
      <w:lvlText w:val="%1."/>
      <w:lvlJc w:val="left"/>
      <w:pPr>
        <w:ind w:left="4406" w:hanging="72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2" w15:restartNumberingAfterBreak="0">
    <w:nsid w:val="226C4BDB"/>
    <w:multiLevelType w:val="hybridMultilevel"/>
    <w:tmpl w:val="9FBA30D4"/>
    <w:lvl w:ilvl="0" w:tplc="FFFFFFFF">
      <w:start w:val="1"/>
      <w:numFmt w:val="bullet"/>
      <w:lvlText w:val="-"/>
      <w:lvlJc w:val="left"/>
      <w:pPr>
        <w:ind w:left="1080" w:hanging="360"/>
      </w:pPr>
      <w:rPr>
        <w:rFonts w:ascii="Times New Roman" w:hAnsi="Times New Roman" w:cs="Times New Roman" w:hint="default"/>
        <w:b/>
        <w:i w:val="0"/>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52CC33B7"/>
    <w:multiLevelType w:val="hybridMultilevel"/>
    <w:tmpl w:val="DD5CA920"/>
    <w:lvl w:ilvl="0" w:tplc="20967E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311C5"/>
    <w:multiLevelType w:val="hybridMultilevel"/>
    <w:tmpl w:val="B6CC57EE"/>
    <w:lvl w:ilvl="0" w:tplc="B47695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C588F"/>
    <w:multiLevelType w:val="hybridMultilevel"/>
    <w:tmpl w:val="B6CC57EE"/>
    <w:lvl w:ilvl="0" w:tplc="B47695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140C5"/>
    <w:multiLevelType w:val="hybridMultilevel"/>
    <w:tmpl w:val="1FD8FE9A"/>
    <w:lvl w:ilvl="0" w:tplc="2B64FE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D2E81"/>
    <w:multiLevelType w:val="hybridMultilevel"/>
    <w:tmpl w:val="F96C4A38"/>
    <w:lvl w:ilvl="0" w:tplc="6366CE96">
      <w:start w:val="2"/>
      <w:numFmt w:val="upperRoman"/>
      <w:lvlText w:val="%1."/>
      <w:lvlJc w:val="left"/>
      <w:pPr>
        <w:ind w:left="720" w:hanging="72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1166" w:hanging="360"/>
      </w:pPr>
    </w:lvl>
    <w:lvl w:ilvl="4" w:tplc="04090019" w:tentative="1">
      <w:start w:val="1"/>
      <w:numFmt w:val="lowerLetter"/>
      <w:lvlText w:val="%5."/>
      <w:lvlJc w:val="left"/>
      <w:pPr>
        <w:ind w:left="-446" w:hanging="360"/>
      </w:pPr>
    </w:lvl>
    <w:lvl w:ilvl="5" w:tplc="0409001B" w:tentative="1">
      <w:start w:val="1"/>
      <w:numFmt w:val="lowerRoman"/>
      <w:lvlText w:val="%6."/>
      <w:lvlJc w:val="right"/>
      <w:pPr>
        <w:ind w:left="274" w:hanging="180"/>
      </w:pPr>
    </w:lvl>
    <w:lvl w:ilvl="6" w:tplc="0409000F" w:tentative="1">
      <w:start w:val="1"/>
      <w:numFmt w:val="decimal"/>
      <w:lvlText w:val="%7."/>
      <w:lvlJc w:val="left"/>
      <w:pPr>
        <w:ind w:left="994" w:hanging="360"/>
      </w:pPr>
    </w:lvl>
    <w:lvl w:ilvl="7" w:tplc="04090019" w:tentative="1">
      <w:start w:val="1"/>
      <w:numFmt w:val="lowerLetter"/>
      <w:lvlText w:val="%8."/>
      <w:lvlJc w:val="left"/>
      <w:pPr>
        <w:ind w:left="1714" w:hanging="360"/>
      </w:pPr>
    </w:lvl>
    <w:lvl w:ilvl="8" w:tplc="0409001B" w:tentative="1">
      <w:start w:val="1"/>
      <w:numFmt w:val="lowerRoman"/>
      <w:lvlText w:val="%9."/>
      <w:lvlJc w:val="right"/>
      <w:pPr>
        <w:ind w:left="2434" w:hanging="180"/>
      </w:p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71"/>
    <w:rsid w:val="00115648"/>
    <w:rsid w:val="00223E18"/>
    <w:rsid w:val="00287636"/>
    <w:rsid w:val="002F1ABD"/>
    <w:rsid w:val="00320006"/>
    <w:rsid w:val="0032731E"/>
    <w:rsid w:val="00356130"/>
    <w:rsid w:val="003860C5"/>
    <w:rsid w:val="00391E7E"/>
    <w:rsid w:val="003B1ADB"/>
    <w:rsid w:val="003C12DF"/>
    <w:rsid w:val="005D3E63"/>
    <w:rsid w:val="006341DA"/>
    <w:rsid w:val="0066721A"/>
    <w:rsid w:val="00735065"/>
    <w:rsid w:val="00991971"/>
    <w:rsid w:val="009948FE"/>
    <w:rsid w:val="009A1B58"/>
    <w:rsid w:val="00B308E7"/>
    <w:rsid w:val="00BB5E1D"/>
    <w:rsid w:val="00D649BF"/>
    <w:rsid w:val="00DF307C"/>
    <w:rsid w:val="00E444C3"/>
    <w:rsid w:val="00E70F7A"/>
    <w:rsid w:val="00F3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440B"/>
  <w15:chartTrackingRefBased/>
  <w15:docId w15:val="{632BBD12-2FE8-48E8-BA5D-D606846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971"/>
    <w:pPr>
      <w:tabs>
        <w:tab w:val="center" w:pos="4680"/>
        <w:tab w:val="right" w:pos="9360"/>
      </w:tabs>
    </w:pPr>
  </w:style>
  <w:style w:type="character" w:customStyle="1" w:styleId="HeaderChar">
    <w:name w:val="Header Char"/>
    <w:basedOn w:val="DefaultParagraphFont"/>
    <w:link w:val="Header"/>
    <w:uiPriority w:val="99"/>
    <w:rsid w:val="009919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1971"/>
    <w:pPr>
      <w:tabs>
        <w:tab w:val="center" w:pos="4680"/>
        <w:tab w:val="right" w:pos="9360"/>
      </w:tabs>
    </w:pPr>
  </w:style>
  <w:style w:type="character" w:customStyle="1" w:styleId="FooterChar">
    <w:name w:val="Footer Char"/>
    <w:basedOn w:val="DefaultParagraphFont"/>
    <w:link w:val="Footer"/>
    <w:uiPriority w:val="99"/>
    <w:rsid w:val="00991971"/>
    <w:rPr>
      <w:rFonts w:ascii="Times New Roman" w:eastAsia="Times New Roman" w:hAnsi="Times New Roman" w:cs="Times New Roman"/>
      <w:sz w:val="24"/>
      <w:szCs w:val="24"/>
    </w:rPr>
  </w:style>
  <w:style w:type="character" w:styleId="CommentReference">
    <w:name w:val="annotation reference"/>
    <w:rsid w:val="00735065"/>
    <w:rPr>
      <w:sz w:val="16"/>
      <w:szCs w:val="16"/>
    </w:rPr>
  </w:style>
  <w:style w:type="paragraph" w:styleId="CommentText">
    <w:name w:val="annotation text"/>
    <w:basedOn w:val="Normal"/>
    <w:link w:val="CommentTextChar"/>
    <w:rsid w:val="00735065"/>
    <w:rPr>
      <w:sz w:val="20"/>
      <w:szCs w:val="20"/>
    </w:rPr>
  </w:style>
  <w:style w:type="character" w:customStyle="1" w:styleId="CommentTextChar">
    <w:name w:val="Comment Text Char"/>
    <w:basedOn w:val="DefaultParagraphFont"/>
    <w:link w:val="CommentText"/>
    <w:rsid w:val="007350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5065"/>
    <w:rPr>
      <w:rFonts w:ascii="Segoe UI" w:hAnsi="Segoe UI"/>
      <w:sz w:val="18"/>
      <w:szCs w:val="18"/>
    </w:rPr>
  </w:style>
  <w:style w:type="character" w:customStyle="1" w:styleId="BalloonTextChar">
    <w:name w:val="Balloon Text Char"/>
    <w:basedOn w:val="DefaultParagraphFont"/>
    <w:link w:val="BalloonText"/>
    <w:uiPriority w:val="99"/>
    <w:semiHidden/>
    <w:rsid w:val="00735065"/>
    <w:rPr>
      <w:rFonts w:ascii="Segoe UI" w:eastAsia="Times New Roman" w:hAnsi="Segoe UI" w:cs="Times New Roman"/>
      <w:sz w:val="18"/>
      <w:szCs w:val="18"/>
    </w:rPr>
  </w:style>
  <w:style w:type="paragraph" w:styleId="ListParagraph">
    <w:name w:val="List Paragraph"/>
    <w:basedOn w:val="Normal"/>
    <w:uiPriority w:val="34"/>
    <w:qFormat/>
    <w:rsid w:val="00735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17</cp:revision>
  <cp:lastPrinted>2021-04-19T08:33:00Z</cp:lastPrinted>
  <dcterms:created xsi:type="dcterms:W3CDTF">2021-04-07T08:05:00Z</dcterms:created>
  <dcterms:modified xsi:type="dcterms:W3CDTF">2021-04-23T09:38:00Z</dcterms:modified>
</cp:coreProperties>
</file>