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EE" w:rsidRPr="004C70EE" w:rsidRDefault="004C70EE" w:rsidP="004C70EE">
      <w:pPr>
        <w:spacing w:before="120" w:line="257" w:lineRule="auto"/>
        <w:jc w:val="center"/>
        <w:rPr>
          <w:rFonts w:ascii="Times New Roman" w:hAnsi="Times New Roman" w:cs="Times New Roman"/>
          <w:b/>
          <w:color w:val="auto"/>
          <w:sz w:val="30"/>
          <w:szCs w:val="26"/>
          <w:lang w:val="nl-NL"/>
        </w:rPr>
      </w:pPr>
      <w:r w:rsidRPr="004C70EE">
        <w:rPr>
          <w:rFonts w:ascii="Times New Roman" w:hAnsi="Times New Roman" w:cs="Times New Roman"/>
          <w:b/>
          <w:color w:val="auto"/>
          <w:sz w:val="30"/>
          <w:szCs w:val="26"/>
          <w:lang w:val="nl-NL"/>
        </w:rPr>
        <w:t>TỜ TRÌNH</w:t>
      </w:r>
    </w:p>
    <w:p w:rsidR="004C70EE" w:rsidRPr="004C70EE" w:rsidRDefault="004C70EE" w:rsidP="004C70EE">
      <w:pPr>
        <w:spacing w:line="257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nl-NL"/>
        </w:rPr>
      </w:pPr>
      <w:r w:rsidRPr="004C70EE">
        <w:rPr>
          <w:rFonts w:ascii="Times New Roman" w:hAnsi="Times New Roman" w:cs="Times New Roman"/>
          <w:b/>
          <w:color w:val="auto"/>
          <w:sz w:val="28"/>
          <w:szCs w:val="28"/>
          <w:lang w:val="nl-NL"/>
        </w:rPr>
        <w:t>ĐẠI HỘI CỔ ĐÔNG THƯỜNG NIÊN 2021</w:t>
      </w:r>
    </w:p>
    <w:p w:rsidR="004C70EE" w:rsidRPr="004C70EE" w:rsidRDefault="004C70EE" w:rsidP="004C70EE">
      <w:pPr>
        <w:autoSpaceDE w:val="0"/>
        <w:autoSpaceDN w:val="0"/>
        <w:adjustRightInd w:val="0"/>
        <w:spacing w:line="257" w:lineRule="auto"/>
        <w:jc w:val="center"/>
        <w:outlineLvl w:val="0"/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</w:pPr>
      <w:r w:rsidRPr="004C70EE"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  <w:t xml:space="preserve">Số </w:t>
      </w:r>
      <w:r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  <w:t>03</w:t>
      </w:r>
      <w:r w:rsidRPr="004C70EE">
        <w:rPr>
          <w:rFonts w:ascii="Times New Roman" w:hAnsi="Times New Roman" w:cs="Times New Roman"/>
          <w:bCs/>
          <w:color w:val="auto"/>
          <w:sz w:val="28"/>
          <w:szCs w:val="28"/>
          <w:lang w:val="nl-NL"/>
        </w:rPr>
        <w:t>/2021/TT-LICOGI13-HĐQT ngày 29/4/2021</w:t>
      </w:r>
    </w:p>
    <w:p w:rsidR="004C70EE" w:rsidRPr="004C70EE" w:rsidRDefault="004C70EE" w:rsidP="004C70EE">
      <w:pPr>
        <w:autoSpaceDE w:val="0"/>
        <w:autoSpaceDN w:val="0"/>
        <w:adjustRightInd w:val="0"/>
        <w:spacing w:line="257" w:lineRule="auto"/>
        <w:jc w:val="center"/>
        <w:outlineLvl w:val="0"/>
        <w:rPr>
          <w:rFonts w:ascii="Times New Roman" w:hAnsi="Times New Roman" w:cs="Times New Roman"/>
          <w:i/>
          <w:color w:val="auto"/>
          <w:sz w:val="28"/>
          <w:szCs w:val="28"/>
          <w:lang w:val="nl-NL"/>
        </w:rPr>
      </w:pPr>
      <w:r w:rsidRPr="004C70EE">
        <w:rPr>
          <w:rFonts w:ascii="Times New Roman" w:hAnsi="Times New Roman" w:cs="Times New Roman"/>
          <w:b/>
          <w:bCs/>
          <w:color w:val="auto"/>
          <w:sz w:val="28"/>
          <w:szCs w:val="28"/>
          <w:lang w:val="nl-NL"/>
        </w:rPr>
        <w:t>Về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nl-NL"/>
        </w:rPr>
        <w:t xml:space="preserve"> </w:t>
      </w:r>
      <w:r w:rsidRPr="004C70EE">
        <w:rPr>
          <w:rFonts w:ascii="Times New Roman" w:hAnsi="Times New Roman" w:cs="Times New Roman"/>
          <w:b/>
          <w:bCs/>
          <w:color w:val="auto"/>
          <w:sz w:val="28"/>
          <w:szCs w:val="28"/>
          <w:lang w:val="nl-NL"/>
        </w:rPr>
        <w:t>Phương án phát hành trái phiếu phục vụ các Dự án đầu tư</w:t>
      </w:r>
    </w:p>
    <w:p w:rsidR="0072510B" w:rsidRDefault="0072510B" w:rsidP="0072510B">
      <w:pPr>
        <w:spacing w:before="120" w:line="264" w:lineRule="auto"/>
        <w:ind w:left="360" w:firstLine="360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</w:p>
    <w:p w:rsidR="004C70EE" w:rsidRPr="0072510B" w:rsidRDefault="004C70EE" w:rsidP="0072510B">
      <w:pPr>
        <w:spacing w:before="120" w:line="264" w:lineRule="auto"/>
        <w:ind w:left="360" w:firstLine="360"/>
        <w:jc w:val="both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72510B">
        <w:rPr>
          <w:rFonts w:ascii="Times New Roman" w:hAnsi="Times New Roman" w:cs="Times New Roman"/>
          <w:i/>
          <w:sz w:val="28"/>
          <w:szCs w:val="28"/>
          <w:lang w:val="nl-NL"/>
        </w:rPr>
        <w:t>Căn cứ Luật Doanh nghiệp số 59/2020/QH14 ngày 17/6/2020;</w:t>
      </w:r>
    </w:p>
    <w:p w:rsidR="004C70EE" w:rsidRPr="0072510B" w:rsidRDefault="004C70EE" w:rsidP="0072510B">
      <w:pPr>
        <w:autoSpaceDE w:val="0"/>
        <w:autoSpaceDN w:val="0"/>
        <w:adjustRightInd w:val="0"/>
        <w:spacing w:before="120" w:line="264" w:lineRule="auto"/>
        <w:ind w:firstLine="720"/>
        <w:jc w:val="both"/>
        <w:outlineLvl w:val="0"/>
        <w:rPr>
          <w:rFonts w:ascii="Times New Roman" w:hAnsi="Times New Roman" w:cs="Times New Roman"/>
          <w:i/>
          <w:sz w:val="28"/>
          <w:szCs w:val="28"/>
          <w:lang w:val="nl-NL"/>
        </w:rPr>
      </w:pPr>
      <w:r w:rsidRPr="0072510B">
        <w:rPr>
          <w:rFonts w:ascii="Times New Roman" w:hAnsi="Times New Roman" w:cs="Times New Roman"/>
          <w:i/>
          <w:sz w:val="28"/>
          <w:szCs w:val="28"/>
          <w:lang w:val="nl-NL"/>
        </w:rPr>
        <w:t>Căn cứ Luật Chứng khoán số 54/2019/QH14 ngày 26/11/2019;</w:t>
      </w:r>
    </w:p>
    <w:p w:rsidR="004C70EE" w:rsidRPr="0072510B" w:rsidRDefault="004C70EE" w:rsidP="0072510B">
      <w:pPr>
        <w:autoSpaceDE w:val="0"/>
        <w:autoSpaceDN w:val="0"/>
        <w:adjustRightInd w:val="0"/>
        <w:spacing w:before="120" w:line="264" w:lineRule="auto"/>
        <w:ind w:firstLine="720"/>
        <w:jc w:val="both"/>
        <w:outlineLvl w:val="0"/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</w:pPr>
      <w:r w:rsidRPr="0072510B">
        <w:rPr>
          <w:rFonts w:ascii="Times New Roman" w:hAnsi="Times New Roman" w:cs="Times New Roman"/>
          <w:i/>
          <w:sz w:val="28"/>
          <w:szCs w:val="28"/>
          <w:lang w:val="nl-NL"/>
        </w:rPr>
        <w:t>Căn cứ Nghị định số 155/2020/NĐ-CP ngày 31/12/2020 của Chính phủ về việc quy định chi tiết thi hành một số điều của Luật Chứng khoán</w:t>
      </w:r>
      <w:r w:rsidR="0072510B">
        <w:rPr>
          <w:rFonts w:ascii="Times New Roman" w:hAnsi="Times New Roman" w:cs="Times New Roman"/>
          <w:i/>
          <w:sz w:val="28"/>
          <w:szCs w:val="28"/>
          <w:lang w:val="nl-NL"/>
        </w:rPr>
        <w:t xml:space="preserve">( </w:t>
      </w:r>
      <w:r w:rsidRPr="0072510B">
        <w:rPr>
          <w:rFonts w:ascii="Times New Roman" w:hAnsi="Times New Roman" w:cs="Times New Roman"/>
          <w:i/>
          <w:sz w:val="28"/>
          <w:szCs w:val="28"/>
          <w:lang w:val="nl-NL"/>
        </w:rPr>
        <w:t>Nghị định 155/2020/NĐ-CP);</w:t>
      </w:r>
      <w:r w:rsidRPr="0072510B"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  <w:t xml:space="preserve"> </w:t>
      </w:r>
    </w:p>
    <w:p w:rsidR="004C70EE" w:rsidRPr="0072510B" w:rsidRDefault="004C70EE" w:rsidP="0072510B">
      <w:pPr>
        <w:autoSpaceDE w:val="0"/>
        <w:autoSpaceDN w:val="0"/>
        <w:adjustRightInd w:val="0"/>
        <w:spacing w:before="120" w:line="264" w:lineRule="auto"/>
        <w:ind w:firstLine="720"/>
        <w:jc w:val="both"/>
        <w:outlineLvl w:val="0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72510B"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  <w:t xml:space="preserve">Căn cứ </w:t>
      </w:r>
      <w:r w:rsidRPr="0072510B">
        <w:rPr>
          <w:rFonts w:ascii="Times New Roman" w:hAnsi="Times New Roman" w:cs="Times New Roman"/>
          <w:i/>
          <w:iCs/>
          <w:spacing w:val="-4"/>
          <w:sz w:val="28"/>
          <w:szCs w:val="28"/>
        </w:rPr>
        <w:t>Điều lệ của Công ty cổ phần Licogi 13;</w:t>
      </w:r>
    </w:p>
    <w:p w:rsidR="004C70EE" w:rsidRPr="0072510B" w:rsidRDefault="004C70EE" w:rsidP="0072510B">
      <w:pPr>
        <w:autoSpaceDE w:val="0"/>
        <w:autoSpaceDN w:val="0"/>
        <w:adjustRightInd w:val="0"/>
        <w:spacing w:before="120" w:line="264" w:lineRule="auto"/>
        <w:ind w:firstLine="720"/>
        <w:jc w:val="both"/>
        <w:outlineLvl w:val="0"/>
        <w:rPr>
          <w:rFonts w:ascii="Times New Roman" w:hAnsi="Times New Roman" w:cs="Times New Roman"/>
          <w:i/>
          <w:iCs/>
          <w:spacing w:val="-4"/>
          <w:sz w:val="28"/>
          <w:szCs w:val="28"/>
          <w:lang w:val="en-US"/>
        </w:rPr>
      </w:pPr>
      <w:r w:rsidRPr="0072510B">
        <w:rPr>
          <w:rFonts w:ascii="Times New Roman" w:hAnsi="Times New Roman" w:cs="Times New Roman"/>
          <w:i/>
          <w:iCs/>
          <w:spacing w:val="-4"/>
          <w:sz w:val="28"/>
          <w:szCs w:val="28"/>
        </w:rPr>
        <w:t>Căn cứ định hướng phát triển sản xuất kinh doanh và đầu tư và nhu cầu vốn của Công ty,</w:t>
      </w:r>
    </w:p>
    <w:p w:rsidR="004C70EE" w:rsidRDefault="004C70EE" w:rsidP="0072510B">
      <w:pPr>
        <w:spacing w:before="120" w:line="264" w:lineRule="auto"/>
        <w:ind w:firstLine="567"/>
        <w:jc w:val="both"/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</w:pPr>
      <w:r w:rsidRPr="004C70EE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Hội đồng quản trị trình Đại hội đồng cổ đông xem xét và thông qua Phương án phát hành </w:t>
      </w:r>
      <w:proofErr w:type="spellStart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trái</w:t>
      </w:r>
      <w:proofErr w:type="spellEnd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phiếu</w:t>
      </w:r>
      <w:proofErr w:type="spellEnd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phục</w:t>
      </w:r>
      <w:proofErr w:type="spellEnd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vụ</w:t>
      </w:r>
      <w:proofErr w:type="spellEnd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các</w:t>
      </w:r>
      <w:proofErr w:type="spellEnd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Dự</w:t>
      </w:r>
      <w:proofErr w:type="spellEnd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án</w:t>
      </w:r>
      <w:proofErr w:type="spellEnd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đầu</w:t>
      </w:r>
      <w:proofErr w:type="spellEnd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tư</w:t>
      </w:r>
      <w:proofErr w:type="spellEnd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của</w:t>
      </w:r>
      <w:proofErr w:type="spellEnd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Công</w:t>
      </w:r>
      <w:proofErr w:type="spellEnd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ty, </w:t>
      </w:r>
      <w:proofErr w:type="spellStart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cụ</w:t>
      </w:r>
      <w:proofErr w:type="spellEnd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thể</w:t>
      </w:r>
      <w:proofErr w:type="spellEnd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như</w:t>
      </w:r>
      <w:proofErr w:type="spellEnd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sau</w:t>
      </w:r>
      <w:proofErr w:type="spellEnd"/>
      <w:r>
        <w:rPr>
          <w:rFonts w:ascii="Times New Roman" w:hAnsi="Times New Roman" w:cs="Times New Roman"/>
          <w:iCs/>
          <w:spacing w:val="-4"/>
          <w:sz w:val="28"/>
          <w:szCs w:val="28"/>
          <w:lang w:val="en-US"/>
        </w:rPr>
        <w:t>:</w:t>
      </w:r>
    </w:p>
    <w:p w:rsidR="004C70EE" w:rsidRPr="004C70EE" w:rsidRDefault="004C70EE" w:rsidP="0072510B">
      <w:pPr>
        <w:pStyle w:val="ListParagraph"/>
        <w:numPr>
          <w:ilvl w:val="0"/>
          <w:numId w:val="2"/>
        </w:numPr>
        <w:spacing w:before="120" w:line="264" w:lineRule="auto"/>
        <w:ind w:left="992" w:hanging="425"/>
        <w:jc w:val="both"/>
        <w:rPr>
          <w:sz w:val="28"/>
          <w:szCs w:val="26"/>
        </w:rPr>
      </w:pPr>
      <w:proofErr w:type="spellStart"/>
      <w:r w:rsidRPr="004C70EE">
        <w:rPr>
          <w:sz w:val="28"/>
          <w:szCs w:val="26"/>
        </w:rPr>
        <w:t>Hình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thức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trái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phiếu</w:t>
      </w:r>
      <w:proofErr w:type="spellEnd"/>
      <w:r w:rsidRPr="004C70EE">
        <w:rPr>
          <w:sz w:val="28"/>
          <w:szCs w:val="26"/>
        </w:rPr>
        <w:t xml:space="preserve">: </w:t>
      </w:r>
      <w:proofErr w:type="spellStart"/>
      <w:r w:rsidRPr="004C70EE">
        <w:rPr>
          <w:sz w:val="28"/>
          <w:szCs w:val="26"/>
        </w:rPr>
        <w:t>Ghi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sổ</w:t>
      </w:r>
      <w:proofErr w:type="spellEnd"/>
      <w:r w:rsidRPr="004C70EE">
        <w:rPr>
          <w:sz w:val="28"/>
          <w:szCs w:val="26"/>
        </w:rPr>
        <w:t>.</w:t>
      </w:r>
    </w:p>
    <w:p w:rsidR="004C70EE" w:rsidRPr="004C70EE" w:rsidRDefault="004C70EE" w:rsidP="0072510B">
      <w:pPr>
        <w:pStyle w:val="ListParagraph"/>
        <w:numPr>
          <w:ilvl w:val="0"/>
          <w:numId w:val="2"/>
        </w:numPr>
        <w:spacing w:before="120" w:line="264" w:lineRule="auto"/>
        <w:ind w:left="992" w:hanging="425"/>
        <w:jc w:val="both"/>
        <w:rPr>
          <w:sz w:val="28"/>
          <w:szCs w:val="26"/>
        </w:rPr>
      </w:pPr>
      <w:proofErr w:type="spellStart"/>
      <w:r w:rsidRPr="004C70EE">
        <w:rPr>
          <w:sz w:val="28"/>
          <w:szCs w:val="26"/>
        </w:rPr>
        <w:t>Tổng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khối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lượng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phát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hành</w:t>
      </w:r>
      <w:proofErr w:type="spellEnd"/>
      <w:r w:rsidRPr="004C70EE">
        <w:rPr>
          <w:sz w:val="28"/>
          <w:szCs w:val="26"/>
        </w:rPr>
        <w:t xml:space="preserve">: </w:t>
      </w:r>
      <w:proofErr w:type="spellStart"/>
      <w:r w:rsidRPr="004C70EE">
        <w:rPr>
          <w:sz w:val="28"/>
          <w:szCs w:val="26"/>
        </w:rPr>
        <w:t>Tối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đa</w:t>
      </w:r>
      <w:proofErr w:type="spellEnd"/>
      <w:r w:rsidRPr="004C70EE">
        <w:rPr>
          <w:sz w:val="28"/>
          <w:szCs w:val="26"/>
        </w:rPr>
        <w:t xml:space="preserve"> 5</w:t>
      </w:r>
      <w:r w:rsidRPr="004C70EE">
        <w:rPr>
          <w:sz w:val="28"/>
          <w:szCs w:val="26"/>
          <w:lang w:val="vi-VN"/>
        </w:rPr>
        <w:t>.00</w:t>
      </w:r>
      <w:r w:rsidRPr="004C70EE">
        <w:rPr>
          <w:sz w:val="28"/>
          <w:szCs w:val="26"/>
        </w:rPr>
        <w:t>0.000 (</w:t>
      </w:r>
      <w:proofErr w:type="spellStart"/>
      <w:r w:rsidRPr="004C70EE">
        <w:rPr>
          <w:sz w:val="28"/>
          <w:szCs w:val="26"/>
        </w:rPr>
        <w:t>Năm</w:t>
      </w:r>
      <w:proofErr w:type="spellEnd"/>
      <w:r w:rsidRPr="004C70EE">
        <w:rPr>
          <w:sz w:val="28"/>
          <w:szCs w:val="26"/>
        </w:rPr>
        <w:t xml:space="preserve"> </w:t>
      </w:r>
      <w:r w:rsidRPr="004C70EE">
        <w:rPr>
          <w:sz w:val="28"/>
          <w:szCs w:val="26"/>
          <w:lang w:val="vi-VN"/>
        </w:rPr>
        <w:t>triệu</w:t>
      </w:r>
      <w:r w:rsidRPr="004C70EE">
        <w:rPr>
          <w:sz w:val="28"/>
          <w:szCs w:val="26"/>
        </w:rPr>
        <w:t xml:space="preserve">) </w:t>
      </w:r>
      <w:proofErr w:type="spellStart"/>
      <w:r w:rsidRPr="004C70EE">
        <w:rPr>
          <w:sz w:val="28"/>
          <w:szCs w:val="26"/>
        </w:rPr>
        <w:t>Trái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phiếu</w:t>
      </w:r>
      <w:proofErr w:type="spellEnd"/>
      <w:r w:rsidRPr="004C70EE">
        <w:rPr>
          <w:sz w:val="28"/>
          <w:szCs w:val="26"/>
        </w:rPr>
        <w:t>.</w:t>
      </w:r>
    </w:p>
    <w:p w:rsidR="004C70EE" w:rsidRPr="004C70EE" w:rsidRDefault="004C70EE" w:rsidP="0072510B">
      <w:pPr>
        <w:pStyle w:val="ListParagraph"/>
        <w:numPr>
          <w:ilvl w:val="0"/>
          <w:numId w:val="2"/>
        </w:numPr>
        <w:spacing w:before="120" w:line="264" w:lineRule="auto"/>
        <w:ind w:left="992" w:hanging="425"/>
        <w:jc w:val="both"/>
        <w:rPr>
          <w:sz w:val="28"/>
          <w:szCs w:val="26"/>
        </w:rPr>
      </w:pPr>
      <w:proofErr w:type="spellStart"/>
      <w:r w:rsidRPr="004C70EE">
        <w:rPr>
          <w:sz w:val="28"/>
          <w:szCs w:val="26"/>
        </w:rPr>
        <w:t>Mệnh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giá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trái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phiếu</w:t>
      </w:r>
      <w:proofErr w:type="spellEnd"/>
      <w:r w:rsidRPr="004C70EE">
        <w:rPr>
          <w:sz w:val="28"/>
          <w:szCs w:val="26"/>
        </w:rPr>
        <w:t>: 100.000 (</w:t>
      </w:r>
      <w:proofErr w:type="spellStart"/>
      <w:r w:rsidRPr="004C70EE">
        <w:rPr>
          <w:sz w:val="28"/>
          <w:szCs w:val="26"/>
        </w:rPr>
        <w:t>một</w:t>
      </w:r>
      <w:proofErr w:type="spellEnd"/>
      <w:r w:rsidRPr="004C70EE">
        <w:rPr>
          <w:sz w:val="28"/>
          <w:szCs w:val="26"/>
          <w:lang w:val="vi-VN"/>
        </w:rPr>
        <w:t xml:space="preserve"> trăm ng</w:t>
      </w:r>
      <w:r w:rsidRPr="004C70EE">
        <w:rPr>
          <w:sz w:val="28"/>
          <w:szCs w:val="26"/>
        </w:rPr>
        <w:t>h</w:t>
      </w:r>
      <w:r w:rsidRPr="004C70EE">
        <w:rPr>
          <w:sz w:val="28"/>
          <w:szCs w:val="26"/>
          <w:lang w:val="vi-VN"/>
        </w:rPr>
        <w:t>ìn</w:t>
      </w:r>
      <w:r w:rsidRPr="004C70EE">
        <w:rPr>
          <w:sz w:val="28"/>
          <w:szCs w:val="26"/>
        </w:rPr>
        <w:t xml:space="preserve">) </w:t>
      </w:r>
      <w:proofErr w:type="spellStart"/>
      <w:r w:rsidRPr="004C70EE">
        <w:rPr>
          <w:sz w:val="28"/>
          <w:szCs w:val="26"/>
        </w:rPr>
        <w:t>đồng</w:t>
      </w:r>
      <w:proofErr w:type="spellEnd"/>
      <w:r w:rsidRPr="004C70EE">
        <w:rPr>
          <w:sz w:val="28"/>
          <w:szCs w:val="26"/>
        </w:rPr>
        <w:t>/</w:t>
      </w:r>
      <w:proofErr w:type="spellStart"/>
      <w:r w:rsidRPr="004C70EE">
        <w:rPr>
          <w:sz w:val="28"/>
          <w:szCs w:val="26"/>
        </w:rPr>
        <w:t>trái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phiếu</w:t>
      </w:r>
      <w:proofErr w:type="spellEnd"/>
      <w:r w:rsidRPr="004C70EE">
        <w:rPr>
          <w:sz w:val="28"/>
          <w:szCs w:val="26"/>
        </w:rPr>
        <w:t>.</w:t>
      </w:r>
    </w:p>
    <w:p w:rsidR="004C70EE" w:rsidRPr="004C70EE" w:rsidRDefault="004C70EE" w:rsidP="0072510B">
      <w:pPr>
        <w:pStyle w:val="ListParagraph"/>
        <w:numPr>
          <w:ilvl w:val="0"/>
          <w:numId w:val="2"/>
        </w:numPr>
        <w:spacing w:before="120" w:line="264" w:lineRule="auto"/>
        <w:ind w:left="992" w:hanging="425"/>
        <w:jc w:val="both"/>
        <w:rPr>
          <w:spacing w:val="-2"/>
          <w:sz w:val="28"/>
          <w:szCs w:val="26"/>
        </w:rPr>
      </w:pPr>
      <w:proofErr w:type="spellStart"/>
      <w:r w:rsidRPr="004C70EE">
        <w:rPr>
          <w:spacing w:val="-2"/>
          <w:sz w:val="28"/>
          <w:szCs w:val="26"/>
        </w:rPr>
        <w:t>Tổng</w:t>
      </w:r>
      <w:proofErr w:type="spellEnd"/>
      <w:r w:rsidRPr="004C70EE">
        <w:rPr>
          <w:spacing w:val="-2"/>
          <w:sz w:val="28"/>
          <w:szCs w:val="26"/>
        </w:rPr>
        <w:t xml:space="preserve"> </w:t>
      </w:r>
      <w:proofErr w:type="spellStart"/>
      <w:r w:rsidRPr="004C70EE">
        <w:rPr>
          <w:spacing w:val="-2"/>
          <w:sz w:val="28"/>
          <w:szCs w:val="26"/>
        </w:rPr>
        <w:t>giá</w:t>
      </w:r>
      <w:proofErr w:type="spellEnd"/>
      <w:r w:rsidRPr="004C70EE">
        <w:rPr>
          <w:spacing w:val="-2"/>
          <w:sz w:val="28"/>
          <w:szCs w:val="26"/>
        </w:rPr>
        <w:t xml:space="preserve"> </w:t>
      </w:r>
      <w:proofErr w:type="spellStart"/>
      <w:r w:rsidRPr="004C70EE">
        <w:rPr>
          <w:spacing w:val="-2"/>
          <w:sz w:val="28"/>
          <w:szCs w:val="26"/>
        </w:rPr>
        <w:t>trị</w:t>
      </w:r>
      <w:proofErr w:type="spellEnd"/>
      <w:r w:rsidRPr="004C70EE">
        <w:rPr>
          <w:spacing w:val="-2"/>
          <w:sz w:val="28"/>
          <w:szCs w:val="26"/>
        </w:rPr>
        <w:t xml:space="preserve"> </w:t>
      </w:r>
      <w:proofErr w:type="spellStart"/>
      <w:r w:rsidRPr="004C70EE">
        <w:rPr>
          <w:spacing w:val="-2"/>
          <w:sz w:val="28"/>
          <w:szCs w:val="26"/>
        </w:rPr>
        <w:t>phát</w:t>
      </w:r>
      <w:proofErr w:type="spellEnd"/>
      <w:r w:rsidRPr="004C70EE">
        <w:rPr>
          <w:spacing w:val="-2"/>
          <w:sz w:val="28"/>
          <w:szCs w:val="26"/>
        </w:rPr>
        <w:t xml:space="preserve"> </w:t>
      </w:r>
      <w:proofErr w:type="spellStart"/>
      <w:r w:rsidRPr="004C70EE">
        <w:rPr>
          <w:spacing w:val="-2"/>
          <w:sz w:val="28"/>
          <w:szCs w:val="26"/>
        </w:rPr>
        <w:t>hành</w:t>
      </w:r>
      <w:proofErr w:type="spellEnd"/>
      <w:r w:rsidRPr="004C70EE">
        <w:rPr>
          <w:spacing w:val="-2"/>
          <w:sz w:val="28"/>
          <w:szCs w:val="26"/>
        </w:rPr>
        <w:t xml:space="preserve"> </w:t>
      </w:r>
      <w:proofErr w:type="spellStart"/>
      <w:r w:rsidRPr="004C70EE">
        <w:rPr>
          <w:spacing w:val="-2"/>
          <w:sz w:val="28"/>
          <w:szCs w:val="26"/>
        </w:rPr>
        <w:t>dự</w:t>
      </w:r>
      <w:proofErr w:type="spellEnd"/>
      <w:r w:rsidRPr="004C70EE">
        <w:rPr>
          <w:spacing w:val="-2"/>
          <w:sz w:val="28"/>
          <w:szCs w:val="26"/>
        </w:rPr>
        <w:t xml:space="preserve"> </w:t>
      </w:r>
      <w:proofErr w:type="spellStart"/>
      <w:r w:rsidRPr="004C70EE">
        <w:rPr>
          <w:spacing w:val="-2"/>
          <w:sz w:val="28"/>
          <w:szCs w:val="26"/>
        </w:rPr>
        <w:t>kiến</w:t>
      </w:r>
      <w:proofErr w:type="spellEnd"/>
      <w:r w:rsidRPr="004C70EE">
        <w:rPr>
          <w:spacing w:val="-2"/>
          <w:sz w:val="28"/>
          <w:szCs w:val="26"/>
        </w:rPr>
        <w:t xml:space="preserve">: </w:t>
      </w:r>
      <w:proofErr w:type="spellStart"/>
      <w:r w:rsidRPr="004C70EE">
        <w:rPr>
          <w:spacing w:val="-2"/>
          <w:sz w:val="28"/>
          <w:szCs w:val="26"/>
        </w:rPr>
        <w:t>Tối</w:t>
      </w:r>
      <w:proofErr w:type="spellEnd"/>
      <w:r w:rsidRPr="004C70EE">
        <w:rPr>
          <w:spacing w:val="-2"/>
          <w:sz w:val="28"/>
          <w:szCs w:val="26"/>
        </w:rPr>
        <w:t xml:space="preserve"> </w:t>
      </w:r>
      <w:proofErr w:type="spellStart"/>
      <w:r w:rsidRPr="004C70EE">
        <w:rPr>
          <w:spacing w:val="-2"/>
          <w:sz w:val="28"/>
          <w:szCs w:val="26"/>
        </w:rPr>
        <w:t>đa</w:t>
      </w:r>
      <w:proofErr w:type="spellEnd"/>
      <w:r w:rsidRPr="004C70EE">
        <w:rPr>
          <w:spacing w:val="-2"/>
          <w:sz w:val="28"/>
          <w:szCs w:val="26"/>
        </w:rPr>
        <w:t xml:space="preserve"> </w:t>
      </w:r>
      <w:r w:rsidRPr="004C70EE">
        <w:rPr>
          <w:spacing w:val="-2"/>
          <w:sz w:val="28"/>
          <w:szCs w:val="26"/>
          <w:lang w:val="vi-VN"/>
        </w:rPr>
        <w:t>500.000.000.000</w:t>
      </w:r>
      <w:r w:rsidRPr="004C70EE">
        <w:rPr>
          <w:spacing w:val="-2"/>
          <w:sz w:val="28"/>
          <w:szCs w:val="26"/>
        </w:rPr>
        <w:t xml:space="preserve"> (</w:t>
      </w:r>
      <w:proofErr w:type="spellStart"/>
      <w:r w:rsidRPr="004C70EE">
        <w:rPr>
          <w:spacing w:val="-2"/>
          <w:sz w:val="28"/>
          <w:szCs w:val="26"/>
        </w:rPr>
        <w:t>Năm</w:t>
      </w:r>
      <w:proofErr w:type="spellEnd"/>
      <w:r w:rsidRPr="004C70EE">
        <w:rPr>
          <w:spacing w:val="-2"/>
          <w:sz w:val="28"/>
          <w:szCs w:val="26"/>
        </w:rPr>
        <w:t xml:space="preserve"> </w:t>
      </w:r>
      <w:proofErr w:type="spellStart"/>
      <w:r w:rsidRPr="004C70EE">
        <w:rPr>
          <w:spacing w:val="-2"/>
          <w:sz w:val="28"/>
          <w:szCs w:val="26"/>
        </w:rPr>
        <w:t>trăm</w:t>
      </w:r>
      <w:proofErr w:type="spellEnd"/>
      <w:r w:rsidRPr="004C70EE">
        <w:rPr>
          <w:spacing w:val="-2"/>
          <w:sz w:val="28"/>
          <w:szCs w:val="26"/>
        </w:rPr>
        <w:t xml:space="preserve"> </w:t>
      </w:r>
      <w:proofErr w:type="spellStart"/>
      <w:r w:rsidRPr="004C70EE">
        <w:rPr>
          <w:spacing w:val="-2"/>
          <w:sz w:val="28"/>
          <w:szCs w:val="26"/>
        </w:rPr>
        <w:t>tỷ</w:t>
      </w:r>
      <w:proofErr w:type="spellEnd"/>
      <w:r w:rsidRPr="004C70EE">
        <w:rPr>
          <w:spacing w:val="-2"/>
          <w:sz w:val="28"/>
          <w:szCs w:val="26"/>
        </w:rPr>
        <w:t xml:space="preserve">) </w:t>
      </w:r>
      <w:proofErr w:type="spellStart"/>
      <w:r w:rsidRPr="004C70EE">
        <w:rPr>
          <w:spacing w:val="-2"/>
          <w:sz w:val="28"/>
          <w:szCs w:val="26"/>
        </w:rPr>
        <w:t>đồng</w:t>
      </w:r>
      <w:proofErr w:type="spellEnd"/>
      <w:r w:rsidRPr="004C70EE">
        <w:rPr>
          <w:spacing w:val="-2"/>
          <w:sz w:val="28"/>
          <w:szCs w:val="26"/>
        </w:rPr>
        <w:t>.</w:t>
      </w:r>
    </w:p>
    <w:p w:rsidR="004C70EE" w:rsidRPr="004C70EE" w:rsidRDefault="004C70EE" w:rsidP="0072510B">
      <w:pPr>
        <w:pStyle w:val="ListParagraph"/>
        <w:numPr>
          <w:ilvl w:val="0"/>
          <w:numId w:val="2"/>
        </w:numPr>
        <w:spacing w:before="120" w:line="264" w:lineRule="auto"/>
        <w:ind w:left="992" w:hanging="425"/>
        <w:jc w:val="both"/>
        <w:rPr>
          <w:sz w:val="28"/>
          <w:szCs w:val="26"/>
        </w:rPr>
      </w:pPr>
      <w:proofErr w:type="spellStart"/>
      <w:r w:rsidRPr="004C70EE">
        <w:rPr>
          <w:sz w:val="28"/>
          <w:szCs w:val="26"/>
        </w:rPr>
        <w:t>Giá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phát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hành</w:t>
      </w:r>
      <w:proofErr w:type="spellEnd"/>
      <w:r w:rsidRPr="004C70EE">
        <w:rPr>
          <w:sz w:val="28"/>
          <w:szCs w:val="26"/>
        </w:rPr>
        <w:t xml:space="preserve">: 100% </w:t>
      </w:r>
      <w:proofErr w:type="spellStart"/>
      <w:r w:rsidRPr="004C70EE">
        <w:rPr>
          <w:sz w:val="28"/>
          <w:szCs w:val="26"/>
        </w:rPr>
        <w:t>mệnh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giá</w:t>
      </w:r>
      <w:proofErr w:type="spellEnd"/>
      <w:r w:rsidRPr="004C70EE">
        <w:rPr>
          <w:sz w:val="28"/>
          <w:szCs w:val="26"/>
        </w:rPr>
        <w:t>.</w:t>
      </w:r>
    </w:p>
    <w:p w:rsidR="004C70EE" w:rsidRPr="004C70EE" w:rsidRDefault="004C70EE" w:rsidP="0072510B">
      <w:pPr>
        <w:pStyle w:val="ListParagraph"/>
        <w:numPr>
          <w:ilvl w:val="0"/>
          <w:numId w:val="2"/>
        </w:numPr>
        <w:spacing w:before="120" w:line="264" w:lineRule="auto"/>
        <w:ind w:left="992" w:hanging="425"/>
        <w:jc w:val="both"/>
        <w:rPr>
          <w:sz w:val="28"/>
          <w:szCs w:val="26"/>
        </w:rPr>
      </w:pPr>
      <w:proofErr w:type="spellStart"/>
      <w:r w:rsidRPr="004C70EE">
        <w:rPr>
          <w:sz w:val="28"/>
          <w:szCs w:val="26"/>
        </w:rPr>
        <w:t>Đồng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tiền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phát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hành</w:t>
      </w:r>
      <w:proofErr w:type="spellEnd"/>
      <w:r w:rsidRPr="004C70EE">
        <w:rPr>
          <w:sz w:val="28"/>
          <w:szCs w:val="26"/>
        </w:rPr>
        <w:t>: VNĐ.</w:t>
      </w:r>
    </w:p>
    <w:p w:rsidR="004C70EE" w:rsidRPr="004C70EE" w:rsidRDefault="004C70EE" w:rsidP="0072510B">
      <w:pPr>
        <w:pStyle w:val="ListParagraph"/>
        <w:numPr>
          <w:ilvl w:val="0"/>
          <w:numId w:val="2"/>
        </w:numPr>
        <w:spacing w:before="120" w:line="264" w:lineRule="auto"/>
        <w:ind w:left="992" w:hanging="425"/>
        <w:jc w:val="both"/>
        <w:rPr>
          <w:sz w:val="28"/>
          <w:szCs w:val="26"/>
        </w:rPr>
      </w:pPr>
      <w:proofErr w:type="spellStart"/>
      <w:r w:rsidRPr="004C70EE">
        <w:rPr>
          <w:sz w:val="28"/>
          <w:szCs w:val="26"/>
        </w:rPr>
        <w:t>Phương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thức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phát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hành</w:t>
      </w:r>
      <w:proofErr w:type="spellEnd"/>
      <w:r w:rsidRPr="004C70EE">
        <w:rPr>
          <w:sz w:val="28"/>
          <w:szCs w:val="26"/>
        </w:rPr>
        <w:t xml:space="preserve">: </w:t>
      </w:r>
      <w:proofErr w:type="spellStart"/>
      <w:r w:rsidRPr="004C70EE">
        <w:rPr>
          <w:sz w:val="28"/>
          <w:szCs w:val="26"/>
        </w:rPr>
        <w:t>Phát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hành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riêng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lẻ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và</w:t>
      </w:r>
      <w:proofErr w:type="spellEnd"/>
      <w:r w:rsidRPr="004C70EE">
        <w:rPr>
          <w:sz w:val="28"/>
          <w:szCs w:val="26"/>
        </w:rPr>
        <w:t>/</w:t>
      </w:r>
      <w:proofErr w:type="spellStart"/>
      <w:r w:rsidRPr="004C70EE">
        <w:rPr>
          <w:sz w:val="28"/>
          <w:szCs w:val="26"/>
        </w:rPr>
        <w:t>hoặc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phát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hành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ra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công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chúng</w:t>
      </w:r>
      <w:proofErr w:type="spellEnd"/>
      <w:r w:rsidRPr="004C70EE">
        <w:rPr>
          <w:sz w:val="28"/>
          <w:szCs w:val="26"/>
        </w:rPr>
        <w:t>.</w:t>
      </w:r>
    </w:p>
    <w:p w:rsidR="004C70EE" w:rsidRPr="004C70EE" w:rsidRDefault="004C70EE" w:rsidP="0072510B">
      <w:pPr>
        <w:pStyle w:val="ListParagraph"/>
        <w:numPr>
          <w:ilvl w:val="0"/>
          <w:numId w:val="2"/>
        </w:numPr>
        <w:spacing w:before="120" w:line="264" w:lineRule="auto"/>
        <w:ind w:left="992" w:hanging="425"/>
        <w:jc w:val="both"/>
        <w:rPr>
          <w:sz w:val="28"/>
          <w:szCs w:val="26"/>
        </w:rPr>
      </w:pPr>
      <w:proofErr w:type="spellStart"/>
      <w:r w:rsidRPr="004C70EE">
        <w:rPr>
          <w:sz w:val="28"/>
          <w:szCs w:val="26"/>
        </w:rPr>
        <w:t>Đối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tượng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phát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hành</w:t>
      </w:r>
      <w:proofErr w:type="spellEnd"/>
      <w:r w:rsidRPr="004C70EE">
        <w:rPr>
          <w:sz w:val="28"/>
          <w:szCs w:val="26"/>
        </w:rPr>
        <w:t xml:space="preserve">: </w:t>
      </w:r>
      <w:proofErr w:type="spellStart"/>
      <w:r w:rsidRPr="004C70EE">
        <w:rPr>
          <w:sz w:val="28"/>
          <w:szCs w:val="26"/>
        </w:rPr>
        <w:t>Phát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hành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cho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nhà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đầu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tư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tổ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chức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và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cá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nhân</w:t>
      </w:r>
      <w:proofErr w:type="spellEnd"/>
      <w:r w:rsidRPr="004C70EE">
        <w:rPr>
          <w:sz w:val="28"/>
          <w:szCs w:val="26"/>
        </w:rPr>
        <w:t>.</w:t>
      </w:r>
    </w:p>
    <w:p w:rsidR="004C70EE" w:rsidRPr="004C70EE" w:rsidRDefault="004C70EE" w:rsidP="0072510B">
      <w:pPr>
        <w:pStyle w:val="ListParagraph"/>
        <w:numPr>
          <w:ilvl w:val="0"/>
          <w:numId w:val="2"/>
        </w:numPr>
        <w:spacing w:before="120" w:line="264" w:lineRule="auto"/>
        <w:ind w:left="992" w:hanging="425"/>
        <w:jc w:val="both"/>
        <w:rPr>
          <w:sz w:val="28"/>
          <w:szCs w:val="26"/>
        </w:rPr>
      </w:pPr>
      <w:proofErr w:type="spellStart"/>
      <w:r w:rsidRPr="004C70EE">
        <w:rPr>
          <w:sz w:val="28"/>
          <w:szCs w:val="26"/>
        </w:rPr>
        <w:t>Kỳ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hạn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trái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phiếu</w:t>
      </w:r>
      <w:proofErr w:type="spellEnd"/>
      <w:r w:rsidRPr="004C70EE">
        <w:rPr>
          <w:sz w:val="28"/>
          <w:szCs w:val="26"/>
        </w:rPr>
        <w:t xml:space="preserve">: 2 - 5 </w:t>
      </w:r>
      <w:proofErr w:type="spellStart"/>
      <w:r w:rsidRPr="004C70EE">
        <w:rPr>
          <w:sz w:val="28"/>
          <w:szCs w:val="26"/>
        </w:rPr>
        <w:t>năm</w:t>
      </w:r>
      <w:proofErr w:type="spellEnd"/>
      <w:r w:rsidRPr="004C70EE">
        <w:rPr>
          <w:sz w:val="28"/>
          <w:szCs w:val="26"/>
        </w:rPr>
        <w:t>.</w:t>
      </w:r>
    </w:p>
    <w:p w:rsidR="004C70EE" w:rsidRPr="004C70EE" w:rsidRDefault="004C70EE" w:rsidP="0072510B">
      <w:pPr>
        <w:pStyle w:val="ListParagraph"/>
        <w:numPr>
          <w:ilvl w:val="0"/>
          <w:numId w:val="2"/>
        </w:numPr>
        <w:spacing w:before="120" w:line="264" w:lineRule="auto"/>
        <w:ind w:left="992" w:hanging="425"/>
        <w:jc w:val="both"/>
        <w:rPr>
          <w:sz w:val="28"/>
          <w:szCs w:val="26"/>
        </w:rPr>
      </w:pPr>
      <w:proofErr w:type="spellStart"/>
      <w:r w:rsidRPr="004C70EE">
        <w:rPr>
          <w:sz w:val="28"/>
          <w:szCs w:val="26"/>
        </w:rPr>
        <w:t>Lãi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suất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trái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phiếu</w:t>
      </w:r>
      <w:proofErr w:type="spellEnd"/>
      <w:r w:rsidRPr="004C70EE">
        <w:rPr>
          <w:sz w:val="28"/>
          <w:szCs w:val="26"/>
        </w:rPr>
        <w:t xml:space="preserve">: </w:t>
      </w:r>
      <w:proofErr w:type="spellStart"/>
      <w:r w:rsidRPr="004C70EE">
        <w:rPr>
          <w:sz w:val="28"/>
          <w:szCs w:val="26"/>
        </w:rPr>
        <w:t>Phù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hợp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với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lãi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suất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thị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trường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tại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thời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điểm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phát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hành</w:t>
      </w:r>
      <w:proofErr w:type="spellEnd"/>
      <w:r w:rsidRPr="004C70EE">
        <w:rPr>
          <w:sz w:val="28"/>
          <w:szCs w:val="26"/>
        </w:rPr>
        <w:t>.</w:t>
      </w:r>
    </w:p>
    <w:p w:rsidR="004C70EE" w:rsidRPr="004C70EE" w:rsidRDefault="004C70EE" w:rsidP="0072510B">
      <w:pPr>
        <w:pStyle w:val="ListParagraph"/>
        <w:numPr>
          <w:ilvl w:val="0"/>
          <w:numId w:val="2"/>
        </w:numPr>
        <w:spacing w:before="120" w:line="264" w:lineRule="auto"/>
        <w:ind w:left="992" w:hanging="425"/>
        <w:jc w:val="both"/>
        <w:rPr>
          <w:sz w:val="28"/>
          <w:szCs w:val="26"/>
        </w:rPr>
      </w:pPr>
      <w:proofErr w:type="spellStart"/>
      <w:r w:rsidRPr="004C70EE">
        <w:rPr>
          <w:sz w:val="28"/>
          <w:szCs w:val="26"/>
        </w:rPr>
        <w:t>Mục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đích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phát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hành</w:t>
      </w:r>
      <w:proofErr w:type="spellEnd"/>
      <w:r w:rsidRPr="004C70EE">
        <w:rPr>
          <w:sz w:val="28"/>
          <w:szCs w:val="26"/>
        </w:rPr>
        <w:t xml:space="preserve">: </w:t>
      </w:r>
    </w:p>
    <w:p w:rsidR="004C70EE" w:rsidRPr="004C70EE" w:rsidRDefault="004C70EE" w:rsidP="0072510B">
      <w:pPr>
        <w:pStyle w:val="ListParagraph"/>
        <w:numPr>
          <w:ilvl w:val="0"/>
          <w:numId w:val="1"/>
        </w:numPr>
        <w:tabs>
          <w:tab w:val="left" w:pos="720"/>
        </w:tabs>
        <w:spacing w:before="120" w:line="264" w:lineRule="auto"/>
        <w:ind w:left="1276" w:hanging="284"/>
        <w:jc w:val="both"/>
        <w:rPr>
          <w:sz w:val="28"/>
          <w:szCs w:val="26"/>
        </w:rPr>
      </w:pPr>
      <w:proofErr w:type="spellStart"/>
      <w:r w:rsidRPr="004C70EE">
        <w:rPr>
          <w:sz w:val="28"/>
          <w:szCs w:val="26"/>
        </w:rPr>
        <w:t>Bổ</w:t>
      </w:r>
      <w:proofErr w:type="spellEnd"/>
      <w:r w:rsidRPr="004C70EE">
        <w:rPr>
          <w:sz w:val="28"/>
          <w:szCs w:val="26"/>
        </w:rPr>
        <w:t xml:space="preserve"> sung </w:t>
      </w:r>
      <w:proofErr w:type="spellStart"/>
      <w:r w:rsidRPr="004C70EE">
        <w:rPr>
          <w:sz w:val="28"/>
          <w:szCs w:val="26"/>
        </w:rPr>
        <w:t>tăng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quy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mô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vốn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cho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các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hoạt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động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kinh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doanh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của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Công</w:t>
      </w:r>
      <w:proofErr w:type="spellEnd"/>
      <w:r w:rsidRPr="004C70EE">
        <w:rPr>
          <w:sz w:val="28"/>
          <w:szCs w:val="26"/>
        </w:rPr>
        <w:t xml:space="preserve"> ty.</w:t>
      </w:r>
    </w:p>
    <w:p w:rsidR="004C70EE" w:rsidRPr="004C70EE" w:rsidRDefault="004C70EE" w:rsidP="0072510B">
      <w:pPr>
        <w:pStyle w:val="ListParagraph"/>
        <w:numPr>
          <w:ilvl w:val="0"/>
          <w:numId w:val="1"/>
        </w:numPr>
        <w:tabs>
          <w:tab w:val="left" w:pos="720"/>
        </w:tabs>
        <w:spacing w:before="120" w:line="264" w:lineRule="auto"/>
        <w:ind w:left="1276" w:hanging="284"/>
        <w:jc w:val="both"/>
        <w:rPr>
          <w:sz w:val="28"/>
          <w:szCs w:val="26"/>
        </w:rPr>
      </w:pPr>
      <w:proofErr w:type="spellStart"/>
      <w:r w:rsidRPr="004C70EE">
        <w:rPr>
          <w:sz w:val="28"/>
          <w:szCs w:val="26"/>
        </w:rPr>
        <w:t>Hợp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tác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kinh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doanh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và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triển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khai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thực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hiện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các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dự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án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đầu</w:t>
      </w:r>
      <w:proofErr w:type="spellEnd"/>
      <w:r w:rsidRPr="004C70EE">
        <w:rPr>
          <w:sz w:val="28"/>
          <w:szCs w:val="26"/>
        </w:rPr>
        <w:t xml:space="preserve"> </w:t>
      </w:r>
      <w:proofErr w:type="spellStart"/>
      <w:r w:rsidRPr="004C70EE">
        <w:rPr>
          <w:sz w:val="28"/>
          <w:szCs w:val="26"/>
        </w:rPr>
        <w:t>tư</w:t>
      </w:r>
      <w:proofErr w:type="spellEnd"/>
      <w:r w:rsidRPr="004C70EE">
        <w:rPr>
          <w:sz w:val="28"/>
          <w:szCs w:val="26"/>
        </w:rPr>
        <w:t>:</w:t>
      </w:r>
    </w:p>
    <w:p w:rsidR="004C70EE" w:rsidRPr="0072510B" w:rsidRDefault="004C70EE" w:rsidP="0072510B">
      <w:pPr>
        <w:pStyle w:val="ListParagraph"/>
        <w:tabs>
          <w:tab w:val="left" w:pos="720"/>
        </w:tabs>
        <w:spacing w:before="120" w:line="264" w:lineRule="auto"/>
        <w:ind w:left="1276"/>
        <w:jc w:val="both"/>
        <w:rPr>
          <w:bCs/>
          <w:sz w:val="28"/>
          <w:szCs w:val="28"/>
        </w:rPr>
      </w:pPr>
      <w:r w:rsidRPr="0072510B">
        <w:rPr>
          <w:sz w:val="28"/>
          <w:szCs w:val="26"/>
        </w:rPr>
        <w:t xml:space="preserve">* </w:t>
      </w:r>
      <w:r w:rsidRPr="0072510B">
        <w:rPr>
          <w:bCs/>
          <w:sz w:val="28"/>
          <w:szCs w:val="28"/>
        </w:rPr>
        <w:t xml:space="preserve"> </w:t>
      </w:r>
      <w:proofErr w:type="spellStart"/>
      <w:r w:rsidRPr="0072510B">
        <w:rPr>
          <w:bCs/>
          <w:sz w:val="28"/>
          <w:szCs w:val="28"/>
        </w:rPr>
        <w:t>Khu</w:t>
      </w:r>
      <w:proofErr w:type="spellEnd"/>
      <w:r w:rsidRPr="0072510B">
        <w:rPr>
          <w:bCs/>
          <w:sz w:val="28"/>
          <w:szCs w:val="28"/>
        </w:rPr>
        <w:t xml:space="preserve"> </w:t>
      </w:r>
      <w:proofErr w:type="spellStart"/>
      <w:r w:rsidRPr="0072510B">
        <w:rPr>
          <w:bCs/>
          <w:sz w:val="28"/>
          <w:szCs w:val="28"/>
        </w:rPr>
        <w:t>đô</w:t>
      </w:r>
      <w:proofErr w:type="spellEnd"/>
      <w:r w:rsidRPr="0072510B">
        <w:rPr>
          <w:bCs/>
          <w:sz w:val="28"/>
          <w:szCs w:val="28"/>
        </w:rPr>
        <w:t xml:space="preserve"> </w:t>
      </w:r>
      <w:proofErr w:type="spellStart"/>
      <w:r w:rsidRPr="0072510B">
        <w:rPr>
          <w:bCs/>
          <w:sz w:val="28"/>
          <w:szCs w:val="28"/>
        </w:rPr>
        <w:t>thị</w:t>
      </w:r>
      <w:proofErr w:type="spellEnd"/>
      <w:r w:rsidRPr="0072510B">
        <w:rPr>
          <w:bCs/>
          <w:sz w:val="28"/>
          <w:szCs w:val="28"/>
        </w:rPr>
        <w:t xml:space="preserve"> </w:t>
      </w:r>
      <w:proofErr w:type="spellStart"/>
      <w:r w:rsidRPr="0072510B">
        <w:rPr>
          <w:bCs/>
          <w:sz w:val="28"/>
          <w:szCs w:val="28"/>
        </w:rPr>
        <w:t>thương</w:t>
      </w:r>
      <w:proofErr w:type="spellEnd"/>
      <w:r w:rsidRPr="0072510B">
        <w:rPr>
          <w:bCs/>
          <w:sz w:val="28"/>
          <w:szCs w:val="28"/>
        </w:rPr>
        <w:t xml:space="preserve"> </w:t>
      </w:r>
      <w:proofErr w:type="spellStart"/>
      <w:r w:rsidRPr="0072510B">
        <w:rPr>
          <w:bCs/>
          <w:sz w:val="28"/>
          <w:szCs w:val="28"/>
        </w:rPr>
        <w:t>mại</w:t>
      </w:r>
      <w:proofErr w:type="spellEnd"/>
      <w:r w:rsidRPr="0072510B">
        <w:rPr>
          <w:bCs/>
          <w:sz w:val="28"/>
          <w:szCs w:val="28"/>
        </w:rPr>
        <w:t xml:space="preserve"> </w:t>
      </w:r>
      <w:proofErr w:type="spellStart"/>
      <w:r w:rsidRPr="0072510B">
        <w:rPr>
          <w:bCs/>
          <w:sz w:val="28"/>
          <w:szCs w:val="28"/>
        </w:rPr>
        <w:t>Bắc</w:t>
      </w:r>
      <w:proofErr w:type="spellEnd"/>
      <w:r w:rsidRPr="0072510B">
        <w:rPr>
          <w:bCs/>
          <w:sz w:val="28"/>
          <w:szCs w:val="28"/>
        </w:rPr>
        <w:t xml:space="preserve"> </w:t>
      </w:r>
      <w:proofErr w:type="spellStart"/>
      <w:r w:rsidRPr="0072510B">
        <w:rPr>
          <w:bCs/>
          <w:sz w:val="28"/>
          <w:szCs w:val="28"/>
        </w:rPr>
        <w:t>Kênh</w:t>
      </w:r>
      <w:proofErr w:type="spellEnd"/>
      <w:r w:rsidRPr="0072510B">
        <w:rPr>
          <w:bCs/>
          <w:sz w:val="28"/>
          <w:szCs w:val="28"/>
        </w:rPr>
        <w:t xml:space="preserve"> </w:t>
      </w:r>
      <w:proofErr w:type="spellStart"/>
      <w:r w:rsidRPr="0072510B">
        <w:rPr>
          <w:bCs/>
          <w:sz w:val="28"/>
          <w:szCs w:val="28"/>
        </w:rPr>
        <w:t>đào</w:t>
      </w:r>
      <w:proofErr w:type="spellEnd"/>
      <w:r w:rsidRPr="0072510B">
        <w:rPr>
          <w:bCs/>
          <w:sz w:val="28"/>
          <w:szCs w:val="28"/>
        </w:rPr>
        <w:t xml:space="preserve"> (An </w:t>
      </w:r>
      <w:proofErr w:type="spellStart"/>
      <w:r w:rsidRPr="0072510B">
        <w:rPr>
          <w:bCs/>
          <w:sz w:val="28"/>
          <w:szCs w:val="28"/>
        </w:rPr>
        <w:t>Giang</w:t>
      </w:r>
      <w:proofErr w:type="spellEnd"/>
      <w:r w:rsidRPr="0072510B">
        <w:rPr>
          <w:bCs/>
          <w:sz w:val="28"/>
          <w:szCs w:val="28"/>
        </w:rPr>
        <w:t>)</w:t>
      </w:r>
    </w:p>
    <w:p w:rsidR="004C70EE" w:rsidRPr="0072510B" w:rsidRDefault="004C70EE" w:rsidP="0072510B">
      <w:pPr>
        <w:pStyle w:val="ListParagraph"/>
        <w:tabs>
          <w:tab w:val="left" w:pos="720"/>
        </w:tabs>
        <w:spacing w:before="120" w:line="264" w:lineRule="auto"/>
        <w:ind w:left="1276"/>
        <w:jc w:val="both"/>
        <w:rPr>
          <w:sz w:val="28"/>
          <w:szCs w:val="26"/>
        </w:rPr>
      </w:pPr>
      <w:r w:rsidRPr="0072510B">
        <w:rPr>
          <w:bCs/>
          <w:sz w:val="28"/>
          <w:szCs w:val="28"/>
        </w:rPr>
        <w:t xml:space="preserve">*  </w:t>
      </w:r>
      <w:proofErr w:type="spellStart"/>
      <w:r w:rsidRPr="0072510B">
        <w:rPr>
          <w:bCs/>
          <w:sz w:val="28"/>
          <w:szCs w:val="28"/>
        </w:rPr>
        <w:t>Khu</w:t>
      </w:r>
      <w:proofErr w:type="spellEnd"/>
      <w:r w:rsidRPr="0072510B">
        <w:rPr>
          <w:bCs/>
          <w:sz w:val="28"/>
          <w:szCs w:val="28"/>
        </w:rPr>
        <w:t xml:space="preserve"> </w:t>
      </w:r>
      <w:proofErr w:type="spellStart"/>
      <w:r w:rsidRPr="0072510B">
        <w:rPr>
          <w:bCs/>
          <w:sz w:val="28"/>
          <w:szCs w:val="28"/>
        </w:rPr>
        <w:t>công</w:t>
      </w:r>
      <w:proofErr w:type="spellEnd"/>
      <w:r w:rsidRPr="0072510B">
        <w:rPr>
          <w:bCs/>
          <w:sz w:val="28"/>
          <w:szCs w:val="28"/>
        </w:rPr>
        <w:t xml:space="preserve"> </w:t>
      </w:r>
      <w:proofErr w:type="spellStart"/>
      <w:r w:rsidRPr="0072510B">
        <w:rPr>
          <w:bCs/>
          <w:sz w:val="28"/>
          <w:szCs w:val="28"/>
        </w:rPr>
        <w:t>nghiệp</w:t>
      </w:r>
      <w:proofErr w:type="spellEnd"/>
      <w:r w:rsidRPr="0072510B">
        <w:rPr>
          <w:bCs/>
          <w:sz w:val="28"/>
          <w:szCs w:val="28"/>
        </w:rPr>
        <w:t xml:space="preserve"> </w:t>
      </w:r>
      <w:proofErr w:type="spellStart"/>
      <w:r w:rsidRPr="0072510B">
        <w:rPr>
          <w:bCs/>
          <w:sz w:val="28"/>
          <w:szCs w:val="28"/>
        </w:rPr>
        <w:t>Quán</w:t>
      </w:r>
      <w:proofErr w:type="spellEnd"/>
      <w:r w:rsidRPr="0072510B">
        <w:rPr>
          <w:bCs/>
          <w:sz w:val="28"/>
          <w:szCs w:val="28"/>
        </w:rPr>
        <w:t xml:space="preserve"> </w:t>
      </w:r>
      <w:proofErr w:type="spellStart"/>
      <w:r w:rsidRPr="0072510B">
        <w:rPr>
          <w:bCs/>
          <w:sz w:val="28"/>
          <w:szCs w:val="28"/>
        </w:rPr>
        <w:t>Ngang</w:t>
      </w:r>
      <w:proofErr w:type="spellEnd"/>
      <w:r w:rsidRPr="0072510B">
        <w:rPr>
          <w:bCs/>
          <w:sz w:val="28"/>
          <w:szCs w:val="28"/>
        </w:rPr>
        <w:t xml:space="preserve"> (</w:t>
      </w:r>
      <w:proofErr w:type="spellStart"/>
      <w:r w:rsidRPr="0072510B">
        <w:rPr>
          <w:bCs/>
          <w:sz w:val="28"/>
          <w:szCs w:val="28"/>
        </w:rPr>
        <w:t>Quảng</w:t>
      </w:r>
      <w:proofErr w:type="spellEnd"/>
      <w:r w:rsidRPr="0072510B">
        <w:rPr>
          <w:bCs/>
          <w:sz w:val="28"/>
          <w:szCs w:val="28"/>
        </w:rPr>
        <w:t xml:space="preserve"> </w:t>
      </w:r>
      <w:proofErr w:type="spellStart"/>
      <w:r w:rsidRPr="0072510B">
        <w:rPr>
          <w:bCs/>
          <w:sz w:val="28"/>
          <w:szCs w:val="28"/>
        </w:rPr>
        <w:t>Trị</w:t>
      </w:r>
      <w:proofErr w:type="spellEnd"/>
      <w:r w:rsidRPr="0072510B">
        <w:rPr>
          <w:bCs/>
          <w:sz w:val="28"/>
          <w:szCs w:val="28"/>
        </w:rPr>
        <w:t>)</w:t>
      </w:r>
    </w:p>
    <w:p w:rsidR="004C70EE" w:rsidRPr="0072510B" w:rsidRDefault="004C70EE" w:rsidP="0072510B">
      <w:pPr>
        <w:pStyle w:val="ListParagraph"/>
        <w:numPr>
          <w:ilvl w:val="0"/>
          <w:numId w:val="2"/>
        </w:numPr>
        <w:spacing w:before="120" w:line="264" w:lineRule="auto"/>
        <w:ind w:left="993" w:hanging="426"/>
        <w:jc w:val="both"/>
        <w:rPr>
          <w:sz w:val="28"/>
          <w:szCs w:val="26"/>
        </w:rPr>
      </w:pPr>
      <w:proofErr w:type="spellStart"/>
      <w:r w:rsidRPr="0072510B">
        <w:rPr>
          <w:sz w:val="28"/>
          <w:szCs w:val="26"/>
        </w:rPr>
        <w:t>Thời</w:t>
      </w:r>
      <w:proofErr w:type="spellEnd"/>
      <w:r w:rsidRPr="0072510B">
        <w:rPr>
          <w:sz w:val="28"/>
          <w:szCs w:val="26"/>
        </w:rPr>
        <w:t xml:space="preserve"> </w:t>
      </w:r>
      <w:proofErr w:type="spellStart"/>
      <w:r w:rsidRPr="0072510B">
        <w:rPr>
          <w:sz w:val="28"/>
          <w:szCs w:val="26"/>
        </w:rPr>
        <w:t>điểm</w:t>
      </w:r>
      <w:proofErr w:type="spellEnd"/>
      <w:r w:rsidRPr="0072510B">
        <w:rPr>
          <w:sz w:val="28"/>
          <w:szCs w:val="26"/>
        </w:rPr>
        <w:t xml:space="preserve"> </w:t>
      </w:r>
      <w:proofErr w:type="spellStart"/>
      <w:r w:rsidRPr="0072510B">
        <w:rPr>
          <w:sz w:val="28"/>
          <w:szCs w:val="26"/>
        </w:rPr>
        <w:t>phát</w:t>
      </w:r>
      <w:proofErr w:type="spellEnd"/>
      <w:r w:rsidRPr="0072510B">
        <w:rPr>
          <w:sz w:val="28"/>
          <w:szCs w:val="26"/>
        </w:rPr>
        <w:t xml:space="preserve"> </w:t>
      </w:r>
      <w:proofErr w:type="spellStart"/>
      <w:r w:rsidRPr="0072510B">
        <w:rPr>
          <w:sz w:val="28"/>
          <w:szCs w:val="26"/>
        </w:rPr>
        <w:t>hành</w:t>
      </w:r>
      <w:proofErr w:type="spellEnd"/>
      <w:r w:rsidRPr="0072510B">
        <w:rPr>
          <w:sz w:val="28"/>
          <w:szCs w:val="26"/>
        </w:rPr>
        <w:t xml:space="preserve">: </w:t>
      </w:r>
      <w:proofErr w:type="spellStart"/>
      <w:r w:rsidRPr="0072510B">
        <w:rPr>
          <w:sz w:val="28"/>
          <w:szCs w:val="26"/>
        </w:rPr>
        <w:t>Trong</w:t>
      </w:r>
      <w:proofErr w:type="spellEnd"/>
      <w:r w:rsidRPr="0072510B">
        <w:rPr>
          <w:sz w:val="28"/>
          <w:szCs w:val="26"/>
        </w:rPr>
        <w:t xml:space="preserve"> </w:t>
      </w:r>
      <w:proofErr w:type="spellStart"/>
      <w:r w:rsidRPr="0072510B">
        <w:rPr>
          <w:sz w:val="28"/>
          <w:szCs w:val="26"/>
        </w:rPr>
        <w:t>năm</w:t>
      </w:r>
      <w:proofErr w:type="spellEnd"/>
      <w:r w:rsidRPr="0072510B">
        <w:rPr>
          <w:sz w:val="28"/>
          <w:szCs w:val="26"/>
        </w:rPr>
        <w:t xml:space="preserve"> 2021.</w:t>
      </w:r>
    </w:p>
    <w:p w:rsidR="004C70EE" w:rsidRPr="004C70EE" w:rsidRDefault="004C70EE" w:rsidP="0072510B">
      <w:pPr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4C70EE">
        <w:rPr>
          <w:rFonts w:ascii="Times New Roman" w:hAnsi="Times New Roman" w:cs="Times New Roman"/>
          <w:sz w:val="28"/>
          <w:szCs w:val="26"/>
        </w:rPr>
        <w:t xml:space="preserve">13. Triển khai thực hiện: Phương án phát hành trái phiếu sẽ được xây dựng căn cứ vào thị trường và tình hình thực tế hoạt động kinh doanh của Công ty. </w:t>
      </w:r>
    </w:p>
    <w:p w:rsidR="004C70EE" w:rsidRPr="004C70EE" w:rsidRDefault="004C70EE" w:rsidP="0072510B">
      <w:pPr>
        <w:spacing w:before="120" w:line="264" w:lineRule="auto"/>
        <w:ind w:firstLine="720"/>
        <w:jc w:val="both"/>
        <w:rPr>
          <w:rFonts w:ascii="Times New Roman" w:hAnsi="Times New Roman" w:cs="Times New Roman"/>
        </w:rPr>
      </w:pPr>
      <w:r w:rsidRPr="004C70EE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4C7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0EE">
        <w:rPr>
          <w:rFonts w:ascii="Times New Roman" w:hAnsi="Times New Roman" w:cs="Times New Roman"/>
          <w:sz w:val="28"/>
          <w:szCs w:val="28"/>
        </w:rPr>
        <w:t>Ủy quyền cho</w:t>
      </w:r>
      <w:r w:rsidRPr="004C7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70EE">
        <w:rPr>
          <w:rFonts w:ascii="Times New Roman" w:hAnsi="Times New Roman" w:cs="Times New Roman"/>
          <w:sz w:val="28"/>
          <w:szCs w:val="26"/>
        </w:rPr>
        <w:t>HĐQT: Quyết định phương án phát hành trái phiếu chi tiết, bao gồm nhưng không giới hạn các vấn đề sau: Phương thức phát hành; Thời điểm phát hành; Lãi suất trái phiếu; Kỳ hạn trái phiếu; Phương thức thánh toán gốc, lãi trái phiếu; Lựa chọn đơn vị tư vấn và đại lý phát hành, lưu ký, thanh toán; Phương án sử dụng vốn chi tiết từ đợt phát hành; Việc dùng tài sản của Công ty hoặc tài sản của bên thứ 3 để làm tài sản bảo đảm cho trái phiếu (nếu có); Triển khai các thủ tục cần thiết để thực hiện đợt phát hành thành công.</w:t>
      </w:r>
    </w:p>
    <w:p w:rsidR="004C70EE" w:rsidRPr="004C70EE" w:rsidRDefault="004C70EE" w:rsidP="0072510B">
      <w:pPr>
        <w:spacing w:before="240" w:line="257" w:lineRule="auto"/>
        <w:ind w:firstLine="720"/>
        <w:jc w:val="both"/>
        <w:rPr>
          <w:rFonts w:ascii="Times New Roman" w:hAnsi="Times New Roman" w:cs="Times New Roman"/>
          <w:i/>
          <w:color w:val="auto"/>
          <w:sz w:val="28"/>
          <w:szCs w:val="26"/>
          <w:lang w:val="nl-NL"/>
        </w:rPr>
      </w:pPr>
      <w:r w:rsidRPr="004C70EE">
        <w:rPr>
          <w:rFonts w:ascii="Times New Roman" w:hAnsi="Times New Roman" w:cs="Times New Roman"/>
          <w:i/>
          <w:color w:val="auto"/>
          <w:sz w:val="28"/>
          <w:szCs w:val="26"/>
          <w:lang w:val="nl-NL"/>
        </w:rPr>
        <w:t>Kính trình các Quí vị cổ đông xem xét, biểu quyết thông qua.</w:t>
      </w:r>
    </w:p>
    <w:p w:rsidR="004C70EE" w:rsidRPr="004C70EE" w:rsidRDefault="004C70EE" w:rsidP="004C70EE">
      <w:pPr>
        <w:spacing w:before="120" w:after="120" w:line="257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6"/>
          <w:lang w:val="nl-NL"/>
        </w:rPr>
      </w:pPr>
      <w:r w:rsidRPr="004C70EE">
        <w:rPr>
          <w:rFonts w:ascii="Times New Roman" w:hAnsi="Times New Roman" w:cs="Times New Roman"/>
          <w:i/>
          <w:color w:val="auto"/>
          <w:sz w:val="28"/>
          <w:szCs w:val="26"/>
          <w:lang w:val="nl-NL"/>
        </w:rPr>
        <w:t>Trân trọng cảm ơn!</w:t>
      </w:r>
    </w:p>
    <w:p w:rsidR="004C70EE" w:rsidRPr="004C70EE" w:rsidRDefault="004C70EE" w:rsidP="004C70EE">
      <w:pPr>
        <w:spacing w:line="257" w:lineRule="auto"/>
        <w:rPr>
          <w:rFonts w:ascii="Times New Roman" w:hAnsi="Times New Roman" w:cs="Times New Roman"/>
          <w:b/>
          <w:color w:val="auto"/>
          <w:sz w:val="26"/>
          <w:szCs w:val="26"/>
          <w:lang w:val="nl-NL"/>
        </w:rPr>
      </w:pPr>
      <w:r w:rsidRPr="004C70EE">
        <w:rPr>
          <w:rFonts w:ascii="Times New Roman" w:hAnsi="Times New Roman" w:cs="Times New Roman"/>
          <w:color w:val="auto"/>
          <w:sz w:val="28"/>
          <w:szCs w:val="26"/>
          <w:lang w:val="nl-NL"/>
        </w:rPr>
        <w:tab/>
      </w:r>
      <w:r w:rsidRPr="004C70EE">
        <w:rPr>
          <w:rFonts w:ascii="Times New Roman" w:hAnsi="Times New Roman" w:cs="Times New Roman"/>
          <w:color w:val="auto"/>
          <w:sz w:val="28"/>
          <w:szCs w:val="26"/>
          <w:lang w:val="nl-NL"/>
        </w:rPr>
        <w:tab/>
      </w:r>
      <w:r w:rsidRPr="004C70EE">
        <w:rPr>
          <w:rFonts w:ascii="Times New Roman" w:hAnsi="Times New Roman" w:cs="Times New Roman"/>
          <w:color w:val="auto"/>
          <w:sz w:val="28"/>
          <w:szCs w:val="26"/>
          <w:lang w:val="nl-NL"/>
        </w:rPr>
        <w:tab/>
      </w:r>
      <w:r w:rsidRPr="004C70EE">
        <w:rPr>
          <w:rFonts w:ascii="Times New Roman" w:hAnsi="Times New Roman" w:cs="Times New Roman"/>
          <w:color w:val="auto"/>
          <w:sz w:val="28"/>
          <w:szCs w:val="26"/>
          <w:lang w:val="nl-NL"/>
        </w:rPr>
        <w:tab/>
      </w:r>
      <w:r w:rsidRPr="004C70EE">
        <w:rPr>
          <w:rFonts w:ascii="Times New Roman" w:hAnsi="Times New Roman" w:cs="Times New Roman"/>
          <w:color w:val="auto"/>
          <w:sz w:val="28"/>
          <w:szCs w:val="26"/>
          <w:lang w:val="nl-NL"/>
        </w:rPr>
        <w:tab/>
      </w:r>
      <w:r w:rsidRPr="004C70EE">
        <w:rPr>
          <w:rFonts w:ascii="Times New Roman" w:hAnsi="Times New Roman" w:cs="Times New Roman"/>
          <w:color w:val="auto"/>
          <w:sz w:val="28"/>
          <w:szCs w:val="26"/>
          <w:lang w:val="nl-NL"/>
        </w:rPr>
        <w:tab/>
      </w:r>
      <w:r w:rsidRPr="004C70EE">
        <w:rPr>
          <w:rFonts w:ascii="Times New Roman" w:hAnsi="Times New Roman" w:cs="Times New Roman"/>
          <w:color w:val="auto"/>
          <w:sz w:val="28"/>
          <w:szCs w:val="26"/>
          <w:lang w:val="nl-NL"/>
        </w:rPr>
        <w:tab/>
      </w:r>
      <w:r w:rsidR="0072510B">
        <w:rPr>
          <w:rFonts w:ascii="Times New Roman" w:hAnsi="Times New Roman" w:cs="Times New Roman"/>
          <w:color w:val="auto"/>
          <w:sz w:val="28"/>
          <w:szCs w:val="26"/>
          <w:lang w:val="nl-NL"/>
        </w:rPr>
        <w:t xml:space="preserve">      </w:t>
      </w:r>
      <w:r w:rsidRPr="004C70EE">
        <w:rPr>
          <w:rFonts w:ascii="Times New Roman" w:hAnsi="Times New Roman" w:cs="Times New Roman"/>
          <w:b/>
          <w:color w:val="auto"/>
          <w:sz w:val="26"/>
          <w:szCs w:val="26"/>
          <w:lang w:val="nl-NL"/>
        </w:rPr>
        <w:t>TM. HỘI ĐỒNG QUẢN TRỊ</w:t>
      </w:r>
    </w:p>
    <w:p w:rsidR="0072510B" w:rsidRPr="004C70EE" w:rsidRDefault="004C70EE" w:rsidP="0072510B">
      <w:pPr>
        <w:spacing w:line="257" w:lineRule="auto"/>
        <w:rPr>
          <w:rFonts w:ascii="Times New Roman" w:hAnsi="Times New Roman" w:cs="Times New Roman"/>
          <w:b/>
          <w:color w:val="auto"/>
          <w:sz w:val="26"/>
          <w:szCs w:val="26"/>
          <w:lang w:val="nl-NL"/>
        </w:rPr>
      </w:pPr>
      <w:r w:rsidRPr="004C70EE">
        <w:rPr>
          <w:rFonts w:ascii="Times New Roman" w:hAnsi="Times New Roman" w:cs="Times New Roman"/>
          <w:b/>
          <w:color w:val="auto"/>
          <w:sz w:val="26"/>
          <w:szCs w:val="26"/>
          <w:lang w:val="nl-NL"/>
        </w:rPr>
        <w:tab/>
      </w:r>
      <w:r w:rsidR="0072510B" w:rsidRPr="0072510B">
        <w:rPr>
          <w:rFonts w:ascii="Times New Roman" w:hAnsi="Times New Roman" w:cs="Times New Roman"/>
          <w:b/>
          <w:i/>
          <w:u w:val="single"/>
        </w:rPr>
        <w:t>Nơi nhận:</w:t>
      </w:r>
      <w:r w:rsidR="0072510B" w:rsidRPr="0072510B">
        <w:rPr>
          <w:rFonts w:ascii="Times New Roman" w:hAnsi="Times New Roman" w:cs="Times New Roman"/>
          <w:b/>
          <w:color w:val="auto"/>
          <w:sz w:val="26"/>
          <w:szCs w:val="26"/>
          <w:lang w:val="nl-NL"/>
        </w:rPr>
        <w:t xml:space="preserve"> </w:t>
      </w:r>
      <w:r w:rsidR="0072510B">
        <w:rPr>
          <w:rFonts w:ascii="Times New Roman" w:hAnsi="Times New Roman" w:cs="Times New Roman"/>
          <w:b/>
          <w:color w:val="auto"/>
          <w:sz w:val="26"/>
          <w:szCs w:val="26"/>
          <w:lang w:val="nl-NL"/>
        </w:rPr>
        <w:tab/>
      </w:r>
      <w:r w:rsidR="0072510B">
        <w:rPr>
          <w:rFonts w:ascii="Times New Roman" w:hAnsi="Times New Roman" w:cs="Times New Roman"/>
          <w:b/>
          <w:color w:val="auto"/>
          <w:sz w:val="26"/>
          <w:szCs w:val="26"/>
          <w:lang w:val="nl-NL"/>
        </w:rPr>
        <w:tab/>
      </w:r>
      <w:r w:rsidR="0072510B">
        <w:rPr>
          <w:rFonts w:ascii="Times New Roman" w:hAnsi="Times New Roman" w:cs="Times New Roman"/>
          <w:b/>
          <w:color w:val="auto"/>
          <w:sz w:val="26"/>
          <w:szCs w:val="26"/>
          <w:lang w:val="nl-NL"/>
        </w:rPr>
        <w:tab/>
      </w:r>
      <w:r w:rsidR="0072510B">
        <w:rPr>
          <w:rFonts w:ascii="Times New Roman" w:hAnsi="Times New Roman" w:cs="Times New Roman"/>
          <w:b/>
          <w:color w:val="auto"/>
          <w:sz w:val="26"/>
          <w:szCs w:val="26"/>
          <w:lang w:val="nl-NL"/>
        </w:rPr>
        <w:tab/>
      </w:r>
      <w:r w:rsidR="0072510B">
        <w:rPr>
          <w:rFonts w:ascii="Times New Roman" w:hAnsi="Times New Roman" w:cs="Times New Roman"/>
          <w:b/>
          <w:color w:val="auto"/>
          <w:sz w:val="26"/>
          <w:szCs w:val="26"/>
          <w:lang w:val="nl-NL"/>
        </w:rPr>
        <w:tab/>
      </w:r>
      <w:r w:rsidR="0072510B">
        <w:rPr>
          <w:rFonts w:ascii="Times New Roman" w:hAnsi="Times New Roman" w:cs="Times New Roman"/>
          <w:b/>
          <w:color w:val="auto"/>
          <w:sz w:val="26"/>
          <w:szCs w:val="26"/>
          <w:lang w:val="nl-NL"/>
        </w:rPr>
        <w:tab/>
      </w:r>
      <w:r w:rsidR="0072510B">
        <w:rPr>
          <w:rFonts w:ascii="Times New Roman" w:hAnsi="Times New Roman" w:cs="Times New Roman"/>
          <w:b/>
          <w:color w:val="auto"/>
          <w:sz w:val="26"/>
          <w:szCs w:val="26"/>
          <w:lang w:val="nl-NL"/>
        </w:rPr>
        <w:tab/>
      </w:r>
      <w:r w:rsidR="0072510B" w:rsidRPr="004C70EE">
        <w:rPr>
          <w:rFonts w:ascii="Times New Roman" w:hAnsi="Times New Roman" w:cs="Times New Roman"/>
          <w:b/>
          <w:color w:val="auto"/>
          <w:sz w:val="26"/>
          <w:szCs w:val="26"/>
          <w:lang w:val="nl-NL"/>
        </w:rPr>
        <w:t>CHỦ TỊCH</w:t>
      </w:r>
    </w:p>
    <w:p w:rsidR="0072510B" w:rsidRPr="0072510B" w:rsidRDefault="0072510B" w:rsidP="0072510B">
      <w:pPr>
        <w:spacing w:after="120" w:line="312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72510B" w:rsidRPr="0072510B" w:rsidRDefault="0072510B" w:rsidP="0072510B">
      <w:pPr>
        <w:ind w:left="360"/>
        <w:jc w:val="both"/>
        <w:rPr>
          <w:rFonts w:ascii="Times New Roman" w:hAnsi="Times New Roman" w:cs="Times New Roman"/>
          <w:bCs/>
          <w:i/>
          <w:iCs/>
          <w:lang w:val="pt-BR"/>
        </w:rPr>
      </w:pPr>
      <w:r w:rsidRPr="0072510B">
        <w:rPr>
          <w:rFonts w:ascii="Times New Roman" w:hAnsi="Times New Roman" w:cs="Times New Roman"/>
          <w:bCs/>
          <w:i/>
          <w:iCs/>
          <w:lang w:val="pt-BR"/>
        </w:rPr>
        <w:t>- Cổ đông LIG;</w:t>
      </w:r>
    </w:p>
    <w:p w:rsidR="0072510B" w:rsidRPr="0072510B" w:rsidRDefault="0072510B" w:rsidP="0072510B">
      <w:pPr>
        <w:ind w:left="360"/>
        <w:jc w:val="both"/>
        <w:rPr>
          <w:rFonts w:ascii="Times New Roman" w:hAnsi="Times New Roman" w:cs="Times New Roman"/>
          <w:bCs/>
          <w:i/>
          <w:iCs/>
          <w:lang w:val="pt-BR"/>
        </w:rPr>
      </w:pPr>
      <w:r w:rsidRPr="0072510B">
        <w:rPr>
          <w:rFonts w:ascii="Times New Roman" w:hAnsi="Times New Roman" w:cs="Times New Roman"/>
          <w:bCs/>
          <w:i/>
          <w:iCs/>
          <w:lang w:val="pt-BR"/>
        </w:rPr>
        <w:t>- HĐQT, BKS, Ban TGĐ;</w:t>
      </w:r>
    </w:p>
    <w:p w:rsidR="0072510B" w:rsidRPr="0072510B" w:rsidRDefault="0072510B" w:rsidP="0072510B">
      <w:pPr>
        <w:ind w:left="360"/>
        <w:jc w:val="both"/>
        <w:rPr>
          <w:rFonts w:ascii="Times New Roman" w:hAnsi="Times New Roman" w:cs="Times New Roman"/>
          <w:i/>
          <w:iCs/>
          <w:sz w:val="26"/>
        </w:rPr>
      </w:pPr>
      <w:r w:rsidRPr="0072510B">
        <w:rPr>
          <w:rFonts w:ascii="Times New Roman" w:hAnsi="Times New Roman" w:cs="Times New Roman"/>
          <w:bCs/>
          <w:i/>
          <w:iCs/>
          <w:lang w:val="pt-BR"/>
        </w:rPr>
        <w:t>- Lưu KHTH</w:t>
      </w:r>
      <w:r w:rsidRPr="0072510B">
        <w:rPr>
          <w:rFonts w:ascii="Times New Roman" w:hAnsi="Times New Roman" w:cs="Times New Roman"/>
          <w:i/>
          <w:iCs/>
        </w:rPr>
        <w:t>.</w:t>
      </w:r>
      <w:bookmarkStart w:id="0" w:name="_GoBack"/>
      <w:bookmarkEnd w:id="0"/>
    </w:p>
    <w:p w:rsidR="004C70EE" w:rsidRPr="004C70EE" w:rsidRDefault="004C70EE" w:rsidP="004C70EE">
      <w:pPr>
        <w:spacing w:line="257" w:lineRule="auto"/>
        <w:rPr>
          <w:rFonts w:ascii="Times New Roman" w:hAnsi="Times New Roman" w:cs="Times New Roman"/>
          <w:b/>
          <w:color w:val="auto"/>
          <w:sz w:val="26"/>
          <w:szCs w:val="26"/>
          <w:lang w:val="nl-NL"/>
        </w:rPr>
      </w:pPr>
      <w:r w:rsidRPr="0072510B">
        <w:rPr>
          <w:rFonts w:ascii="Times New Roman" w:hAnsi="Times New Roman" w:cs="Times New Roman"/>
          <w:b/>
          <w:color w:val="auto"/>
          <w:sz w:val="26"/>
          <w:szCs w:val="26"/>
          <w:lang w:val="nl-NL"/>
        </w:rPr>
        <w:tab/>
      </w:r>
      <w:r w:rsidRPr="0072510B">
        <w:rPr>
          <w:rFonts w:ascii="Times New Roman" w:hAnsi="Times New Roman" w:cs="Times New Roman"/>
          <w:b/>
          <w:color w:val="auto"/>
          <w:sz w:val="26"/>
          <w:szCs w:val="26"/>
          <w:lang w:val="nl-NL"/>
        </w:rPr>
        <w:tab/>
      </w:r>
      <w:r w:rsidRPr="0072510B">
        <w:rPr>
          <w:rFonts w:ascii="Times New Roman" w:hAnsi="Times New Roman" w:cs="Times New Roman"/>
          <w:b/>
          <w:color w:val="auto"/>
          <w:sz w:val="26"/>
          <w:szCs w:val="26"/>
          <w:lang w:val="nl-NL"/>
        </w:rPr>
        <w:tab/>
      </w:r>
      <w:r w:rsidRPr="004C70EE">
        <w:rPr>
          <w:rFonts w:ascii="Times New Roman" w:hAnsi="Times New Roman" w:cs="Times New Roman"/>
          <w:b/>
          <w:color w:val="auto"/>
          <w:sz w:val="26"/>
          <w:szCs w:val="26"/>
          <w:lang w:val="nl-NL"/>
        </w:rPr>
        <w:tab/>
      </w:r>
      <w:r w:rsidRPr="004C70EE">
        <w:rPr>
          <w:rFonts w:ascii="Times New Roman" w:hAnsi="Times New Roman" w:cs="Times New Roman"/>
          <w:b/>
          <w:color w:val="auto"/>
          <w:sz w:val="26"/>
          <w:szCs w:val="26"/>
          <w:lang w:val="nl-NL"/>
        </w:rPr>
        <w:tab/>
      </w:r>
      <w:r w:rsidRPr="004C70EE">
        <w:rPr>
          <w:rFonts w:ascii="Times New Roman" w:hAnsi="Times New Roman" w:cs="Times New Roman"/>
          <w:b/>
          <w:color w:val="auto"/>
          <w:sz w:val="26"/>
          <w:szCs w:val="26"/>
          <w:lang w:val="nl-NL"/>
        </w:rPr>
        <w:tab/>
      </w:r>
      <w:r w:rsidRPr="004C70EE">
        <w:rPr>
          <w:rFonts w:ascii="Times New Roman" w:hAnsi="Times New Roman" w:cs="Times New Roman"/>
          <w:b/>
          <w:color w:val="auto"/>
          <w:sz w:val="26"/>
          <w:szCs w:val="26"/>
          <w:lang w:val="nl-NL"/>
        </w:rPr>
        <w:tab/>
        <w:t xml:space="preserve">     </w:t>
      </w:r>
    </w:p>
    <w:p w:rsidR="004C70EE" w:rsidRPr="004C70EE" w:rsidRDefault="004C70EE" w:rsidP="0072510B">
      <w:pPr>
        <w:spacing w:before="120" w:line="257" w:lineRule="auto"/>
        <w:rPr>
          <w:rFonts w:ascii="Times New Roman" w:hAnsi="Times New Roman" w:cs="Times New Roman"/>
          <w:b/>
          <w:color w:val="auto"/>
          <w:sz w:val="30"/>
          <w:szCs w:val="26"/>
          <w:lang w:val="nl-NL"/>
        </w:rPr>
      </w:pPr>
      <w:r w:rsidRPr="004C70EE">
        <w:rPr>
          <w:rFonts w:ascii="Times New Roman" w:hAnsi="Times New Roman" w:cs="Times New Roman"/>
          <w:color w:val="auto"/>
          <w:sz w:val="30"/>
          <w:szCs w:val="26"/>
          <w:lang w:val="nl-NL"/>
        </w:rPr>
        <w:tab/>
      </w:r>
      <w:r w:rsidR="0072510B">
        <w:rPr>
          <w:rFonts w:ascii="Times New Roman" w:hAnsi="Times New Roman" w:cs="Times New Roman"/>
          <w:color w:val="auto"/>
          <w:sz w:val="30"/>
          <w:szCs w:val="26"/>
          <w:lang w:val="nl-NL"/>
        </w:rPr>
        <w:tab/>
      </w:r>
      <w:r w:rsidR="0072510B">
        <w:rPr>
          <w:rFonts w:ascii="Times New Roman" w:hAnsi="Times New Roman" w:cs="Times New Roman"/>
          <w:color w:val="auto"/>
          <w:sz w:val="30"/>
          <w:szCs w:val="26"/>
          <w:lang w:val="nl-NL"/>
        </w:rPr>
        <w:tab/>
      </w:r>
      <w:r w:rsidR="0072510B">
        <w:rPr>
          <w:rFonts w:ascii="Times New Roman" w:hAnsi="Times New Roman" w:cs="Times New Roman"/>
          <w:color w:val="auto"/>
          <w:sz w:val="30"/>
          <w:szCs w:val="26"/>
          <w:lang w:val="nl-NL"/>
        </w:rPr>
        <w:tab/>
      </w:r>
      <w:r w:rsidR="0072510B">
        <w:rPr>
          <w:rFonts w:ascii="Times New Roman" w:hAnsi="Times New Roman" w:cs="Times New Roman"/>
          <w:color w:val="auto"/>
          <w:sz w:val="30"/>
          <w:szCs w:val="26"/>
          <w:lang w:val="nl-NL"/>
        </w:rPr>
        <w:tab/>
      </w:r>
      <w:r w:rsidR="0072510B">
        <w:rPr>
          <w:rFonts w:ascii="Times New Roman" w:hAnsi="Times New Roman" w:cs="Times New Roman"/>
          <w:color w:val="auto"/>
          <w:sz w:val="30"/>
          <w:szCs w:val="26"/>
          <w:lang w:val="nl-NL"/>
        </w:rPr>
        <w:tab/>
      </w:r>
      <w:r w:rsidR="0072510B">
        <w:rPr>
          <w:rFonts w:ascii="Times New Roman" w:hAnsi="Times New Roman" w:cs="Times New Roman"/>
          <w:color w:val="auto"/>
          <w:sz w:val="30"/>
          <w:szCs w:val="26"/>
          <w:lang w:val="nl-NL"/>
        </w:rPr>
        <w:tab/>
      </w:r>
      <w:r w:rsidR="0072510B">
        <w:rPr>
          <w:rFonts w:ascii="Times New Roman" w:hAnsi="Times New Roman" w:cs="Times New Roman"/>
          <w:color w:val="auto"/>
          <w:sz w:val="30"/>
          <w:szCs w:val="26"/>
          <w:lang w:val="nl-NL"/>
        </w:rPr>
        <w:tab/>
        <w:t xml:space="preserve">    </w:t>
      </w:r>
      <w:r w:rsidRPr="004C70EE">
        <w:rPr>
          <w:rFonts w:ascii="Times New Roman" w:hAnsi="Times New Roman" w:cs="Times New Roman"/>
          <w:b/>
          <w:color w:val="auto"/>
          <w:sz w:val="30"/>
          <w:szCs w:val="26"/>
          <w:lang w:val="nl-NL"/>
        </w:rPr>
        <w:t xml:space="preserve">  Bùi Đình Sơn</w:t>
      </w:r>
    </w:p>
    <w:p w:rsidR="004C70EE" w:rsidRPr="004C70EE" w:rsidRDefault="004C70EE" w:rsidP="004C70EE">
      <w:pPr>
        <w:spacing w:before="120" w:line="257" w:lineRule="auto"/>
        <w:rPr>
          <w:rFonts w:ascii="Times New Roman" w:hAnsi="Times New Roman" w:cs="Times New Roman"/>
          <w:color w:val="auto"/>
          <w:sz w:val="30"/>
          <w:szCs w:val="26"/>
          <w:lang w:val="nl-NL"/>
        </w:rPr>
      </w:pPr>
    </w:p>
    <w:p w:rsidR="004C70EE" w:rsidRPr="004C70EE" w:rsidRDefault="004C70EE" w:rsidP="004C70EE">
      <w:pPr>
        <w:spacing w:before="120" w:line="257" w:lineRule="auto"/>
        <w:rPr>
          <w:rFonts w:ascii="Times New Roman" w:hAnsi="Times New Roman" w:cs="Times New Roman"/>
          <w:color w:val="auto"/>
          <w:sz w:val="28"/>
          <w:szCs w:val="26"/>
          <w:lang w:val="nl-NL"/>
        </w:rPr>
      </w:pPr>
    </w:p>
    <w:p w:rsidR="004C70EE" w:rsidRPr="004C70EE" w:rsidRDefault="004C70EE" w:rsidP="004C70EE">
      <w:pPr>
        <w:spacing w:before="120" w:line="257" w:lineRule="auto"/>
        <w:rPr>
          <w:rFonts w:ascii="Times New Roman" w:hAnsi="Times New Roman" w:cs="Times New Roman"/>
          <w:color w:val="auto"/>
          <w:sz w:val="28"/>
          <w:szCs w:val="26"/>
          <w:lang w:val="nl-NL"/>
        </w:rPr>
      </w:pPr>
    </w:p>
    <w:p w:rsidR="004C70EE" w:rsidRPr="004C70EE" w:rsidRDefault="004C70EE" w:rsidP="004C70EE">
      <w:pPr>
        <w:spacing w:before="120" w:line="257" w:lineRule="auto"/>
        <w:rPr>
          <w:rFonts w:ascii="Times New Roman" w:hAnsi="Times New Roman" w:cs="Times New Roman"/>
          <w:color w:val="auto"/>
          <w:sz w:val="28"/>
          <w:szCs w:val="26"/>
          <w:lang w:val="nl-NL"/>
        </w:rPr>
      </w:pPr>
    </w:p>
    <w:p w:rsidR="004C70EE" w:rsidRPr="004C70EE" w:rsidRDefault="004C70EE" w:rsidP="004C70EE">
      <w:pPr>
        <w:widowControl/>
        <w:spacing w:after="160" w:line="259" w:lineRule="auto"/>
        <w:rPr>
          <w:rFonts w:ascii="Times New Roman" w:hAnsi="Times New Roman" w:cs="Times New Roman"/>
          <w:color w:val="auto"/>
          <w:sz w:val="26"/>
          <w:szCs w:val="26"/>
          <w:lang w:val="nl-NL"/>
        </w:rPr>
      </w:pPr>
      <w:r w:rsidRPr="004C70EE">
        <w:rPr>
          <w:rFonts w:ascii="Times New Roman" w:hAnsi="Times New Roman" w:cs="Times New Roman"/>
          <w:color w:val="auto"/>
          <w:sz w:val="26"/>
          <w:szCs w:val="26"/>
          <w:lang w:val="nl-NL"/>
        </w:rPr>
        <w:br w:type="page"/>
      </w:r>
    </w:p>
    <w:p w:rsidR="004C70EE" w:rsidRPr="004C70EE" w:rsidRDefault="004C70EE" w:rsidP="004C70EE">
      <w:pPr>
        <w:spacing w:before="120" w:line="257" w:lineRule="auto"/>
        <w:rPr>
          <w:rFonts w:ascii="Times New Roman" w:hAnsi="Times New Roman" w:cs="Times New Roman"/>
          <w:color w:val="auto"/>
          <w:sz w:val="26"/>
          <w:szCs w:val="26"/>
          <w:lang w:val="nl-NL"/>
        </w:rPr>
      </w:pPr>
    </w:p>
    <w:tbl>
      <w:tblPr>
        <w:tblW w:w="9691" w:type="dxa"/>
        <w:tblInd w:w="-265" w:type="dxa"/>
        <w:tblLook w:val="04A0" w:firstRow="1" w:lastRow="0" w:firstColumn="1" w:lastColumn="0" w:noHBand="0" w:noVBand="1"/>
      </w:tblPr>
      <w:tblGrid>
        <w:gridCol w:w="746"/>
        <w:gridCol w:w="2443"/>
        <w:gridCol w:w="4306"/>
        <w:gridCol w:w="2187"/>
        <w:gridCol w:w="9"/>
      </w:tblGrid>
      <w:tr w:rsidR="004C70EE" w:rsidRPr="004C70EE" w:rsidTr="00FE603E">
        <w:trPr>
          <w:trHeight w:val="440"/>
        </w:trPr>
        <w:tc>
          <w:tcPr>
            <w:tcW w:w="9691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70EE" w:rsidRPr="004C70EE" w:rsidRDefault="004C70EE" w:rsidP="00FE603E">
            <w:pPr>
              <w:spacing w:before="120" w:line="257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</w:pPr>
            <w:r w:rsidRPr="004C70EE">
              <w:rPr>
                <w:rFonts w:ascii="Times New Roman" w:hAnsi="Times New Roman" w:cs="Times New Roman"/>
                <w:b/>
                <w:bCs/>
                <w:i/>
                <w:color w:val="auto"/>
                <w:sz w:val="30"/>
                <w:szCs w:val="30"/>
              </w:rPr>
              <w:t>Phụ lục</w:t>
            </w:r>
            <w:r w:rsidRPr="004C70EE"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  <w:t>: Danh mục Hợp đồng mua bán vật tư/ Hợp đồng giao thầu; Hợp đồng vay/cho vay đối với các Công ty con, người có liên quan thực hiện trong năm 201</w:t>
            </w:r>
            <w:r w:rsidRPr="004C70EE"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  <w:lang w:val="en-US"/>
              </w:rPr>
              <w:t>9</w:t>
            </w:r>
            <w:r w:rsidRPr="004C70E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</w:t>
            </w:r>
            <w:r w:rsidRPr="004C70EE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                             </w:t>
            </w:r>
          </w:p>
          <w:p w:rsidR="004C70EE" w:rsidRPr="004C70EE" w:rsidRDefault="004C70EE" w:rsidP="00FE603E">
            <w:pPr>
              <w:spacing w:before="120" w:line="257" w:lineRule="auto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6"/>
              </w:rPr>
            </w:pPr>
            <w:r w:rsidRPr="004C70EE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6"/>
              </w:rPr>
              <w:t>(Theo qui định tại Thông tư số 155/2015/TT-BTC ngày 06/10/2015 về việc công bố thông tin trên TTCK)</w:t>
            </w:r>
          </w:p>
          <w:p w:rsidR="004C70EE" w:rsidRPr="004C70EE" w:rsidRDefault="004C70EE" w:rsidP="00FE603E">
            <w:pPr>
              <w:spacing w:before="120" w:line="257" w:lineRule="auto"/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</w:tr>
      <w:tr w:rsidR="004C70EE" w:rsidRPr="004C70EE" w:rsidTr="00FE603E">
        <w:trPr>
          <w:trHeight w:val="465"/>
        </w:trPr>
        <w:tc>
          <w:tcPr>
            <w:tcW w:w="9691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</w:tr>
      <w:tr w:rsidR="004C70EE" w:rsidRPr="004C70EE" w:rsidTr="00FE603E">
        <w:trPr>
          <w:gridAfter w:val="1"/>
          <w:wAfter w:w="9" w:type="dxa"/>
          <w:trHeight w:val="345"/>
        </w:trPr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STT</w:t>
            </w:r>
          </w:p>
        </w:tc>
        <w:tc>
          <w:tcPr>
            <w:tcW w:w="2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Tên công ty/ đối tượng có liên quan</w:t>
            </w:r>
          </w:p>
        </w:tc>
        <w:tc>
          <w:tcPr>
            <w:tcW w:w="4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Tên hợp đồng</w:t>
            </w:r>
          </w:p>
        </w:tc>
        <w:tc>
          <w:tcPr>
            <w:tcW w:w="2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Giá trị              hợp đồng</w:t>
            </w:r>
            <w:r w:rsidRPr="004C70E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4C70E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đồng</w:t>
            </w:r>
            <w:proofErr w:type="spellEnd"/>
            <w:r w:rsidRPr="004C70E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)</w:t>
            </w:r>
            <w:r w:rsidRPr="004C70EE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           (Bao gồm VAT)</w:t>
            </w:r>
          </w:p>
        </w:tc>
      </w:tr>
      <w:tr w:rsidR="004C70EE" w:rsidRPr="004C70EE" w:rsidTr="00FE603E">
        <w:trPr>
          <w:gridAfter w:val="1"/>
          <w:wAfter w:w="9" w:type="dxa"/>
          <w:trHeight w:val="440"/>
        </w:trPr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2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4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2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</w:tr>
      <w:tr w:rsidR="004C70EE" w:rsidRPr="004C70EE" w:rsidTr="00FE603E">
        <w:trPr>
          <w:gridAfter w:val="1"/>
          <w:wAfter w:w="9" w:type="dxa"/>
          <w:trHeight w:val="253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Công ty Cổ phần Quốc </w:t>
            </w: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t</w:t>
            </w: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ế CICOM và Công ty TNHH Công nghệ tích hợp hệ thống GCL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HĐ số: 01/EPC/LIG-CICOM-GCL ngày 29/09/2018 _HĐ thiết kế , cung cấp thiết bị công nghệ và thi công XD Nhà máy điện MT LIG - Quảng trị công suất 49.5MWP giữa chủ đầu tư Cty CP Licogi 13 </w:t>
            </w:r>
            <w:proofErr w:type="spellStart"/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với</w:t>
            </w:r>
            <w:proofErr w:type="spellEnd"/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L</w:t>
            </w: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iên danh công ty CP quốc tế Cicom và c</w:t>
            </w:r>
            <w:proofErr w:type="spellStart"/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ông</w:t>
            </w:r>
            <w:proofErr w:type="spellEnd"/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</w:t>
            </w: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ty TNHH công nghệ tích hợp hệ thống GCL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255,198,587,905 </w:t>
            </w:r>
          </w:p>
        </w:tc>
      </w:tr>
      <w:tr w:rsidR="004C70EE" w:rsidRPr="004C70EE" w:rsidTr="00FE603E">
        <w:trPr>
          <w:gridAfter w:val="1"/>
          <w:wAfter w:w="9" w:type="dxa"/>
          <w:trHeight w:val="139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Công ty Cổ phần Licogi 13 - Cơ giới hạ tầng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HĐ số: 468/2018/HĐKT Thi công san lấp mặt bằng Nhà máy điện MT LIG - Quảng trị + Phụ lục hợp đồng số 01.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62,447,050,600 </w:t>
            </w:r>
          </w:p>
        </w:tc>
      </w:tr>
      <w:tr w:rsidR="004C70EE" w:rsidRPr="004C70EE" w:rsidTr="00FE603E">
        <w:trPr>
          <w:gridAfter w:val="1"/>
          <w:wAfter w:w="9" w:type="dxa"/>
          <w:trHeight w:val="157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Công ty Cổ phần Licogi 13 - ICI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HĐ số 89A/2018/HĐKT-LIG-ICI Dự án Đầu tư xây dựng cầu Rạch Miễu - Quốc lộ 60, tỉnh Tiền Giang - tỉnh Bến Tre theo hình thức HĐ BOT.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26,120,003,000 </w:t>
            </w:r>
          </w:p>
        </w:tc>
      </w:tr>
      <w:tr w:rsidR="004C70EE" w:rsidRPr="004C70EE" w:rsidTr="00FE603E">
        <w:trPr>
          <w:gridAfter w:val="1"/>
          <w:wAfter w:w="9" w:type="dxa"/>
          <w:trHeight w:val="10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Công ty Cổ phần Licogi 13 - Nền móng xây dựng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Hợp đồng ký năm 2017 thực hiện năm 2018 về việc mua thép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40,445,200,708 </w:t>
            </w:r>
          </w:p>
        </w:tc>
      </w:tr>
      <w:tr w:rsidR="004C70EE" w:rsidRPr="004C70EE" w:rsidTr="00FE603E">
        <w:trPr>
          <w:gridAfter w:val="1"/>
          <w:wAfter w:w="9" w:type="dxa"/>
          <w:trHeight w:val="117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Công ty Cổ phần Licogi 13 - Nền móng xây dựng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HĐ số 517/2018/HĐMT/LICOGI13FC-LICOGI13 về việc mua thép thời gian thực hiện từ 15/5/2018 đến 15/5/2019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68,833,562,864 </w:t>
            </w:r>
          </w:p>
        </w:tc>
      </w:tr>
      <w:tr w:rsidR="004C70EE" w:rsidRPr="004C70EE" w:rsidTr="00FE603E">
        <w:trPr>
          <w:gridAfter w:val="1"/>
          <w:wAfter w:w="9" w:type="dxa"/>
          <w:trHeight w:val="106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Công ty Cổ phần Địa ốc xanh sài Gòn Thuận Phước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Hợp đồng vay vốn giữa Công ty Licogi13 với Thuận Phước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39,725,000,000 </w:t>
            </w:r>
          </w:p>
        </w:tc>
      </w:tr>
      <w:tr w:rsidR="004C70EE" w:rsidRPr="004C70EE" w:rsidTr="00FE603E">
        <w:trPr>
          <w:gridAfter w:val="1"/>
          <w:wAfter w:w="9" w:type="dxa"/>
          <w:trHeight w:val="88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Công ty cổ phần Đầu tư nông nghiệp sài Gòn Thành Đạt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Hợp đồng vay vốn giữa Công ty Licogi13 với Thành Đạt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28,913,000,000 </w:t>
            </w:r>
          </w:p>
        </w:tc>
      </w:tr>
      <w:tr w:rsidR="004C70EE" w:rsidRPr="004C70EE" w:rsidTr="00FE603E">
        <w:trPr>
          <w:gridAfter w:val="1"/>
          <w:wAfter w:w="9" w:type="dxa"/>
          <w:trHeight w:val="88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Công ty Cổ phần Licogi 13 - Nền móng xây dựng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Hợp đồng vay vốn giữa Công ty Licogi13 với Licogi13 - FC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0EE" w:rsidRPr="004C70EE" w:rsidRDefault="004C70EE" w:rsidP="00FE603E">
            <w:pPr>
              <w:spacing w:before="120" w:line="257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C70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26,000,000,000 </w:t>
            </w:r>
          </w:p>
        </w:tc>
      </w:tr>
    </w:tbl>
    <w:p w:rsidR="004C70EE" w:rsidRPr="004C70EE" w:rsidRDefault="004C70EE" w:rsidP="004C70EE">
      <w:pPr>
        <w:spacing w:before="120" w:after="20" w:line="257" w:lineRule="auto"/>
        <w:jc w:val="center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p w:rsidR="004C70EE" w:rsidRPr="004C70EE" w:rsidRDefault="004C70EE" w:rsidP="004C70EE">
      <w:pPr>
        <w:spacing w:before="120" w:after="20" w:line="257" w:lineRule="auto"/>
        <w:jc w:val="center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p w:rsidR="004C70EE" w:rsidRPr="004C70EE" w:rsidRDefault="004C70EE" w:rsidP="004C70EE">
      <w:pPr>
        <w:spacing w:before="120" w:after="20" w:line="257" w:lineRule="auto"/>
        <w:jc w:val="center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p w:rsidR="004C70EE" w:rsidRPr="004C70EE" w:rsidRDefault="004C70EE" w:rsidP="004C70EE">
      <w:pPr>
        <w:spacing w:before="120" w:after="20" w:line="257" w:lineRule="auto"/>
        <w:jc w:val="center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p w:rsidR="004C70EE" w:rsidRPr="004C70EE" w:rsidRDefault="004C70EE" w:rsidP="004C70EE">
      <w:pPr>
        <w:spacing w:before="120" w:after="20" w:line="257" w:lineRule="auto"/>
        <w:jc w:val="center"/>
        <w:rPr>
          <w:rFonts w:ascii="Times New Roman" w:hAnsi="Times New Roman" w:cs="Times New Roman"/>
          <w:color w:val="auto"/>
          <w:sz w:val="26"/>
          <w:szCs w:val="26"/>
          <w:lang w:val="en-US"/>
        </w:rPr>
      </w:pPr>
    </w:p>
    <w:p w:rsidR="004C70EE" w:rsidRPr="004C70EE" w:rsidRDefault="004C70EE" w:rsidP="004C70EE">
      <w:pPr>
        <w:spacing w:before="120" w:line="257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4C70EE" w:rsidRPr="004C70EE" w:rsidRDefault="004C70EE" w:rsidP="004C70EE">
      <w:pPr>
        <w:spacing w:before="120" w:line="257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4C70EE" w:rsidRPr="004C70EE" w:rsidRDefault="004C70EE" w:rsidP="004C70EE">
      <w:pPr>
        <w:spacing w:before="120" w:line="257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4C70EE" w:rsidRPr="004C70EE" w:rsidRDefault="004C70EE" w:rsidP="004C70EE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4C70EE" w:rsidRPr="004C70EE" w:rsidRDefault="004C70EE" w:rsidP="004C70EE">
      <w:pPr>
        <w:rPr>
          <w:rFonts w:ascii="Times New Roman" w:hAnsi="Times New Roman" w:cs="Times New Roman"/>
          <w:color w:val="auto"/>
        </w:rPr>
      </w:pPr>
    </w:p>
    <w:p w:rsidR="004C70EE" w:rsidRPr="004C70EE" w:rsidRDefault="004C70EE" w:rsidP="004C70EE">
      <w:pPr>
        <w:rPr>
          <w:rFonts w:ascii="Times New Roman" w:hAnsi="Times New Roman" w:cs="Times New Roman"/>
        </w:rPr>
      </w:pPr>
    </w:p>
    <w:p w:rsidR="00B308E7" w:rsidRPr="004C70EE" w:rsidRDefault="00B308E7">
      <w:pPr>
        <w:rPr>
          <w:rFonts w:ascii="Times New Roman" w:hAnsi="Times New Roman" w:cs="Times New Roman"/>
        </w:rPr>
      </w:pPr>
    </w:p>
    <w:sectPr w:rsidR="00B308E7" w:rsidRPr="004C70EE" w:rsidSect="0072510B">
      <w:pgSz w:w="11909" w:h="16834" w:code="9"/>
      <w:pgMar w:top="900" w:right="1021" w:bottom="113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3CD" w:rsidRDefault="004503CD">
      <w:r>
        <w:separator/>
      </w:r>
    </w:p>
  </w:endnote>
  <w:endnote w:type="continuationSeparator" w:id="0">
    <w:p w:rsidR="004503CD" w:rsidRDefault="0045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3CD" w:rsidRDefault="004503CD">
      <w:r>
        <w:separator/>
      </w:r>
    </w:p>
  </w:footnote>
  <w:footnote w:type="continuationSeparator" w:id="0">
    <w:p w:rsidR="004503CD" w:rsidRDefault="0045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A1C04"/>
    <w:multiLevelType w:val="hybridMultilevel"/>
    <w:tmpl w:val="D7A6A30C"/>
    <w:lvl w:ilvl="0" w:tplc="7B82997E">
      <w:start w:val="1"/>
      <w:numFmt w:val="bullet"/>
      <w:lvlText w:val="-"/>
      <w:lvlJc w:val="left"/>
      <w:pPr>
        <w:ind w:left="284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515B4980"/>
    <w:multiLevelType w:val="hybridMultilevel"/>
    <w:tmpl w:val="CDF0EAFE"/>
    <w:lvl w:ilvl="0" w:tplc="CF7ED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EE"/>
    <w:rsid w:val="003A6D05"/>
    <w:rsid w:val="004503CD"/>
    <w:rsid w:val="004C70EE"/>
    <w:rsid w:val="005C7B6D"/>
    <w:rsid w:val="0072510B"/>
    <w:rsid w:val="00B3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3D490"/>
  <w15:chartTrackingRefBased/>
  <w15:docId w15:val="{91E3C45C-987B-4278-8D59-B7AD3AFF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0E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70EE"/>
    <w:pPr>
      <w:widowControl/>
      <w:tabs>
        <w:tab w:val="center" w:pos="4680"/>
        <w:tab w:val="right" w:pos="9360"/>
      </w:tabs>
    </w:pPr>
    <w:rPr>
      <w:rFonts w:ascii="Calibri" w:eastAsia="Calibri" w:hAnsi="Calibri" w:cs="Times New Roman"/>
      <w:color w:val="auto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C70EE"/>
    <w:rPr>
      <w:rFonts w:ascii="Calibri" w:eastAsia="Calibri" w:hAnsi="Calibri" w:cs="Times New Roman"/>
    </w:rPr>
  </w:style>
  <w:style w:type="paragraph" w:customStyle="1" w:styleId="Default">
    <w:name w:val="Default"/>
    <w:qFormat/>
    <w:rsid w:val="004C70EE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70EE"/>
    <w:pPr>
      <w:widowControl/>
      <w:ind w:left="720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25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10B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2021-04-08T08:52:00Z</dcterms:created>
  <dcterms:modified xsi:type="dcterms:W3CDTF">2021-04-19T08:41:00Z</dcterms:modified>
</cp:coreProperties>
</file>